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317D" w14:textId="1AC6027A" w:rsidR="00DA166E" w:rsidRPr="000E304D" w:rsidRDefault="003F3BDA" w:rsidP="00F02702">
      <w:pPr>
        <w:pStyle w:val="Title"/>
        <w:ind w:right="1445"/>
      </w:pPr>
      <w:r w:rsidRPr="00F02702">
        <w:t>Evidence summary:</w:t>
      </w:r>
      <w:r w:rsidRPr="00ED509B">
        <w:rPr>
          <w:b w:val="0"/>
          <w:bCs/>
        </w:rPr>
        <w:t xml:space="preserve"> </w:t>
      </w:r>
      <w:r>
        <w:t>Disability data and eye health programming</w:t>
      </w:r>
      <w:r w:rsidR="00DC60C3">
        <w:t xml:space="preserve"> in low</w:t>
      </w:r>
      <w:r w:rsidR="001C03B0">
        <w:t>-</w:t>
      </w:r>
      <w:r w:rsidR="00DC60C3">
        <w:t xml:space="preserve"> to middle-income countries</w:t>
      </w:r>
    </w:p>
    <w:p w14:paraId="38EC8E02" w14:textId="57D156E7" w:rsidR="003B0013" w:rsidRPr="002660B2" w:rsidRDefault="00ED6275" w:rsidP="002660B2">
      <w:pPr>
        <w:pStyle w:val="Subtitle"/>
      </w:pPr>
      <w:r>
        <w:t>R</w:t>
      </w:r>
      <w:r w:rsidR="003F3BDA">
        <w:t>eport prepared for</w:t>
      </w:r>
      <w:r w:rsidR="007D5199">
        <w:t xml:space="preserve"> </w:t>
      </w:r>
      <w:r w:rsidR="002A151A">
        <w:t>T</w:t>
      </w:r>
      <w:r w:rsidR="007D5199">
        <w:t>he</w:t>
      </w:r>
      <w:r w:rsidR="003F3BDA">
        <w:t xml:space="preserve"> Fred Hollows Foundation</w:t>
      </w:r>
    </w:p>
    <w:p w14:paraId="6610B778" w14:textId="439A3C1B" w:rsidR="002660B2" w:rsidRPr="002A151A" w:rsidRDefault="000170EC" w:rsidP="002A151A">
      <w:pPr>
        <w:pStyle w:val="Byline"/>
        <w:spacing w:after="120"/>
      </w:pPr>
      <w:r>
        <w:t>19 May 2023</w:t>
      </w:r>
      <w:r w:rsidR="003F3BDA">
        <w:br/>
        <w:t xml:space="preserve">Asahel Bush, Inclusion Advisory Group, </w:t>
      </w:r>
      <w:r w:rsidR="002A151A">
        <w:t xml:space="preserve">CBM </w:t>
      </w:r>
      <w:r w:rsidR="003F3BDA">
        <w:t>Australia</w:t>
      </w:r>
      <w:r w:rsidR="002660B2" w:rsidRPr="007D5199">
        <w:rPr>
          <w:b w:val="0"/>
          <w:bCs/>
        </w:rPr>
        <w:br w:type="page"/>
      </w:r>
    </w:p>
    <w:sdt>
      <w:sdtPr>
        <w:rPr>
          <w:rFonts w:asciiTheme="minorHAnsi" w:eastAsiaTheme="minorHAnsi" w:hAnsiTheme="minorHAnsi" w:cstheme="minorBidi"/>
          <w:b w:val="0"/>
          <w:sz w:val="22"/>
          <w:szCs w:val="22"/>
        </w:rPr>
        <w:id w:val="-648740104"/>
        <w:docPartObj>
          <w:docPartGallery w:val="Table of Contents"/>
          <w:docPartUnique/>
        </w:docPartObj>
      </w:sdtPr>
      <w:sdtEndPr>
        <w:rPr>
          <w:bCs/>
          <w:noProof/>
        </w:rPr>
      </w:sdtEndPr>
      <w:sdtContent>
        <w:p w14:paraId="2A5B6125" w14:textId="77777777" w:rsidR="00AD1A1A" w:rsidRDefault="00AD1A1A">
          <w:pPr>
            <w:pStyle w:val="TOCHeading"/>
          </w:pPr>
          <w:r>
            <w:t>Table of Contents</w:t>
          </w:r>
        </w:p>
        <w:p w14:paraId="38040778" w14:textId="0EED011F" w:rsidR="009518D0" w:rsidRDefault="009518D0">
          <w:pPr>
            <w:pStyle w:val="TOC1"/>
            <w:rPr>
              <w:rFonts w:eastAsiaTheme="minorEastAsia"/>
              <w:b w:val="0"/>
              <w:noProof/>
              <w:color w:val="auto"/>
              <w:lang w:eastAsia="en-AU"/>
            </w:rPr>
          </w:pPr>
          <w:r>
            <w:rPr>
              <w:b w:val="0"/>
              <w:sz w:val="26"/>
            </w:rPr>
            <w:fldChar w:fldCharType="begin"/>
          </w:r>
          <w:r>
            <w:rPr>
              <w:b w:val="0"/>
              <w:sz w:val="26"/>
            </w:rPr>
            <w:instrText xml:space="preserve"> TOC \o "1-2" \h \z \u </w:instrText>
          </w:r>
          <w:r>
            <w:rPr>
              <w:b w:val="0"/>
              <w:sz w:val="26"/>
            </w:rPr>
            <w:fldChar w:fldCharType="separate"/>
          </w:r>
          <w:hyperlink w:anchor="_Toc135388362" w:history="1">
            <w:r w:rsidRPr="005C12B8">
              <w:rPr>
                <w:rStyle w:val="Hyperlink"/>
                <w:noProof/>
              </w:rPr>
              <w:t>Abbreviations</w:t>
            </w:r>
            <w:r>
              <w:rPr>
                <w:noProof/>
                <w:webHidden/>
              </w:rPr>
              <w:tab/>
            </w:r>
            <w:r>
              <w:rPr>
                <w:noProof/>
                <w:webHidden/>
              </w:rPr>
              <w:fldChar w:fldCharType="begin"/>
            </w:r>
            <w:r>
              <w:rPr>
                <w:noProof/>
                <w:webHidden/>
              </w:rPr>
              <w:instrText xml:space="preserve"> PAGEREF _Toc135388362 \h </w:instrText>
            </w:r>
            <w:r>
              <w:rPr>
                <w:noProof/>
                <w:webHidden/>
              </w:rPr>
            </w:r>
            <w:r>
              <w:rPr>
                <w:noProof/>
                <w:webHidden/>
              </w:rPr>
              <w:fldChar w:fldCharType="separate"/>
            </w:r>
            <w:r w:rsidR="00985133">
              <w:rPr>
                <w:noProof/>
                <w:webHidden/>
              </w:rPr>
              <w:t>3</w:t>
            </w:r>
            <w:r>
              <w:rPr>
                <w:noProof/>
                <w:webHidden/>
              </w:rPr>
              <w:fldChar w:fldCharType="end"/>
            </w:r>
          </w:hyperlink>
        </w:p>
        <w:p w14:paraId="0D9F5978" w14:textId="5F96D1AC" w:rsidR="009518D0" w:rsidRDefault="00000000">
          <w:pPr>
            <w:pStyle w:val="TOC1"/>
            <w:tabs>
              <w:tab w:val="left" w:pos="720"/>
            </w:tabs>
            <w:rPr>
              <w:rFonts w:eastAsiaTheme="minorEastAsia"/>
              <w:b w:val="0"/>
              <w:noProof/>
              <w:color w:val="auto"/>
              <w:lang w:eastAsia="en-AU"/>
            </w:rPr>
          </w:pPr>
          <w:hyperlink w:anchor="_Toc135388363" w:history="1">
            <w:r w:rsidR="009518D0" w:rsidRPr="005C12B8">
              <w:rPr>
                <w:rStyle w:val="Hyperlink"/>
                <w:noProof/>
              </w:rPr>
              <w:t>1.</w:t>
            </w:r>
            <w:r w:rsidR="009518D0">
              <w:rPr>
                <w:rFonts w:eastAsiaTheme="minorEastAsia"/>
                <w:b w:val="0"/>
                <w:noProof/>
                <w:color w:val="auto"/>
                <w:lang w:eastAsia="en-AU"/>
              </w:rPr>
              <w:tab/>
            </w:r>
            <w:r w:rsidR="009518D0" w:rsidRPr="005C12B8">
              <w:rPr>
                <w:rStyle w:val="Hyperlink"/>
                <w:noProof/>
              </w:rPr>
              <w:t>Introduction</w:t>
            </w:r>
            <w:r w:rsidR="009518D0">
              <w:rPr>
                <w:noProof/>
                <w:webHidden/>
              </w:rPr>
              <w:tab/>
            </w:r>
            <w:r w:rsidR="009518D0">
              <w:rPr>
                <w:noProof/>
                <w:webHidden/>
              </w:rPr>
              <w:fldChar w:fldCharType="begin"/>
            </w:r>
            <w:r w:rsidR="009518D0">
              <w:rPr>
                <w:noProof/>
                <w:webHidden/>
              </w:rPr>
              <w:instrText xml:space="preserve"> PAGEREF _Toc135388363 \h </w:instrText>
            </w:r>
            <w:r w:rsidR="009518D0">
              <w:rPr>
                <w:noProof/>
                <w:webHidden/>
              </w:rPr>
            </w:r>
            <w:r w:rsidR="009518D0">
              <w:rPr>
                <w:noProof/>
                <w:webHidden/>
              </w:rPr>
              <w:fldChar w:fldCharType="separate"/>
            </w:r>
            <w:r w:rsidR="00985133">
              <w:rPr>
                <w:noProof/>
                <w:webHidden/>
              </w:rPr>
              <w:t>4</w:t>
            </w:r>
            <w:r w:rsidR="009518D0">
              <w:rPr>
                <w:noProof/>
                <w:webHidden/>
              </w:rPr>
              <w:fldChar w:fldCharType="end"/>
            </w:r>
          </w:hyperlink>
        </w:p>
        <w:p w14:paraId="35380006" w14:textId="0AA3A34A" w:rsidR="009518D0" w:rsidRDefault="00000000">
          <w:pPr>
            <w:pStyle w:val="TOC1"/>
            <w:tabs>
              <w:tab w:val="left" w:pos="720"/>
            </w:tabs>
            <w:rPr>
              <w:rFonts w:eastAsiaTheme="minorEastAsia"/>
              <w:b w:val="0"/>
              <w:noProof/>
              <w:color w:val="auto"/>
              <w:lang w:eastAsia="en-AU"/>
            </w:rPr>
          </w:pPr>
          <w:hyperlink w:anchor="_Toc135388364" w:history="1">
            <w:r w:rsidR="009518D0" w:rsidRPr="005C12B8">
              <w:rPr>
                <w:rStyle w:val="Hyperlink"/>
                <w:noProof/>
              </w:rPr>
              <w:t>2.</w:t>
            </w:r>
            <w:r w:rsidR="009518D0">
              <w:rPr>
                <w:rFonts w:eastAsiaTheme="minorEastAsia"/>
                <w:b w:val="0"/>
                <w:noProof/>
                <w:color w:val="auto"/>
                <w:lang w:eastAsia="en-AU"/>
              </w:rPr>
              <w:tab/>
            </w:r>
            <w:r w:rsidR="009518D0" w:rsidRPr="005C12B8">
              <w:rPr>
                <w:rStyle w:val="Hyperlink"/>
                <w:noProof/>
              </w:rPr>
              <w:t>Methodology</w:t>
            </w:r>
            <w:r w:rsidR="009518D0">
              <w:rPr>
                <w:noProof/>
                <w:webHidden/>
              </w:rPr>
              <w:tab/>
            </w:r>
            <w:r w:rsidR="009518D0">
              <w:rPr>
                <w:noProof/>
                <w:webHidden/>
              </w:rPr>
              <w:fldChar w:fldCharType="begin"/>
            </w:r>
            <w:r w:rsidR="009518D0">
              <w:rPr>
                <w:noProof/>
                <w:webHidden/>
              </w:rPr>
              <w:instrText xml:space="preserve"> PAGEREF _Toc135388364 \h </w:instrText>
            </w:r>
            <w:r w:rsidR="009518D0">
              <w:rPr>
                <w:noProof/>
                <w:webHidden/>
              </w:rPr>
            </w:r>
            <w:r w:rsidR="009518D0">
              <w:rPr>
                <w:noProof/>
                <w:webHidden/>
              </w:rPr>
              <w:fldChar w:fldCharType="separate"/>
            </w:r>
            <w:r w:rsidR="00985133">
              <w:rPr>
                <w:noProof/>
                <w:webHidden/>
              </w:rPr>
              <w:t>4</w:t>
            </w:r>
            <w:r w:rsidR="009518D0">
              <w:rPr>
                <w:noProof/>
                <w:webHidden/>
              </w:rPr>
              <w:fldChar w:fldCharType="end"/>
            </w:r>
          </w:hyperlink>
        </w:p>
        <w:p w14:paraId="4065BF32" w14:textId="4410DB20" w:rsidR="009518D0" w:rsidRDefault="00000000">
          <w:pPr>
            <w:pStyle w:val="TOC1"/>
            <w:tabs>
              <w:tab w:val="left" w:pos="720"/>
            </w:tabs>
            <w:rPr>
              <w:rFonts w:eastAsiaTheme="minorEastAsia"/>
              <w:b w:val="0"/>
              <w:noProof/>
              <w:color w:val="auto"/>
              <w:lang w:eastAsia="en-AU"/>
            </w:rPr>
          </w:pPr>
          <w:hyperlink w:anchor="_Toc135388365" w:history="1">
            <w:r w:rsidR="009518D0" w:rsidRPr="005C12B8">
              <w:rPr>
                <w:rStyle w:val="Hyperlink"/>
                <w:noProof/>
              </w:rPr>
              <w:t>3.</w:t>
            </w:r>
            <w:r w:rsidR="009518D0">
              <w:rPr>
                <w:rFonts w:eastAsiaTheme="minorEastAsia"/>
                <w:b w:val="0"/>
                <w:noProof/>
                <w:color w:val="auto"/>
                <w:lang w:eastAsia="en-AU"/>
              </w:rPr>
              <w:tab/>
            </w:r>
            <w:r w:rsidR="009518D0" w:rsidRPr="005C12B8">
              <w:rPr>
                <w:rStyle w:val="Hyperlink"/>
                <w:noProof/>
              </w:rPr>
              <w:t>Summary of evidence</w:t>
            </w:r>
            <w:r w:rsidR="009518D0">
              <w:rPr>
                <w:noProof/>
                <w:webHidden/>
              </w:rPr>
              <w:tab/>
            </w:r>
            <w:r w:rsidR="009518D0">
              <w:rPr>
                <w:noProof/>
                <w:webHidden/>
              </w:rPr>
              <w:fldChar w:fldCharType="begin"/>
            </w:r>
            <w:r w:rsidR="009518D0">
              <w:rPr>
                <w:noProof/>
                <w:webHidden/>
              </w:rPr>
              <w:instrText xml:space="preserve"> PAGEREF _Toc135388365 \h </w:instrText>
            </w:r>
            <w:r w:rsidR="009518D0">
              <w:rPr>
                <w:noProof/>
                <w:webHidden/>
              </w:rPr>
            </w:r>
            <w:r w:rsidR="009518D0">
              <w:rPr>
                <w:noProof/>
                <w:webHidden/>
              </w:rPr>
              <w:fldChar w:fldCharType="separate"/>
            </w:r>
            <w:r w:rsidR="00985133">
              <w:rPr>
                <w:noProof/>
                <w:webHidden/>
              </w:rPr>
              <w:t>5</w:t>
            </w:r>
            <w:r w:rsidR="009518D0">
              <w:rPr>
                <w:noProof/>
                <w:webHidden/>
              </w:rPr>
              <w:fldChar w:fldCharType="end"/>
            </w:r>
          </w:hyperlink>
        </w:p>
        <w:p w14:paraId="1A64B2EA" w14:textId="56834FD1" w:rsidR="009518D0" w:rsidRDefault="00000000">
          <w:pPr>
            <w:pStyle w:val="TOC2"/>
            <w:tabs>
              <w:tab w:val="left" w:pos="1100"/>
            </w:tabs>
            <w:rPr>
              <w:rFonts w:eastAsiaTheme="minorEastAsia"/>
              <w:color w:val="auto"/>
              <w:lang w:eastAsia="en-AU"/>
            </w:rPr>
          </w:pPr>
          <w:hyperlink w:anchor="_Toc135388366" w:history="1">
            <w:r w:rsidR="009518D0" w:rsidRPr="005C12B8">
              <w:rPr>
                <w:rStyle w:val="Hyperlink"/>
              </w:rPr>
              <w:t>3.1.</w:t>
            </w:r>
            <w:r w:rsidR="009518D0">
              <w:rPr>
                <w:rFonts w:eastAsiaTheme="minorEastAsia"/>
                <w:color w:val="auto"/>
                <w:lang w:eastAsia="en-AU"/>
              </w:rPr>
              <w:tab/>
            </w:r>
            <w:r w:rsidR="009518D0" w:rsidRPr="005C12B8">
              <w:rPr>
                <w:rStyle w:val="Hyperlink"/>
              </w:rPr>
              <w:t>Eye health-related disability data</w:t>
            </w:r>
            <w:r w:rsidR="009518D0">
              <w:rPr>
                <w:webHidden/>
              </w:rPr>
              <w:tab/>
            </w:r>
            <w:r w:rsidR="009518D0">
              <w:rPr>
                <w:webHidden/>
              </w:rPr>
              <w:fldChar w:fldCharType="begin"/>
            </w:r>
            <w:r w:rsidR="009518D0">
              <w:rPr>
                <w:webHidden/>
              </w:rPr>
              <w:instrText xml:space="preserve"> PAGEREF _Toc135388366 \h </w:instrText>
            </w:r>
            <w:r w:rsidR="009518D0">
              <w:rPr>
                <w:webHidden/>
              </w:rPr>
            </w:r>
            <w:r w:rsidR="009518D0">
              <w:rPr>
                <w:webHidden/>
              </w:rPr>
              <w:fldChar w:fldCharType="separate"/>
            </w:r>
            <w:r w:rsidR="00985133">
              <w:rPr>
                <w:webHidden/>
              </w:rPr>
              <w:t>5</w:t>
            </w:r>
            <w:r w:rsidR="009518D0">
              <w:rPr>
                <w:webHidden/>
              </w:rPr>
              <w:fldChar w:fldCharType="end"/>
            </w:r>
          </w:hyperlink>
        </w:p>
        <w:p w14:paraId="24307501" w14:textId="586B5238" w:rsidR="009518D0" w:rsidRDefault="00000000">
          <w:pPr>
            <w:pStyle w:val="TOC2"/>
            <w:tabs>
              <w:tab w:val="left" w:pos="1100"/>
            </w:tabs>
            <w:rPr>
              <w:rFonts w:eastAsiaTheme="minorEastAsia"/>
              <w:color w:val="auto"/>
              <w:lang w:eastAsia="en-AU"/>
            </w:rPr>
          </w:pPr>
          <w:hyperlink w:anchor="_Toc135388367" w:history="1">
            <w:r w:rsidR="009518D0" w:rsidRPr="005C12B8">
              <w:rPr>
                <w:rStyle w:val="Hyperlink"/>
              </w:rPr>
              <w:t>3.2.</w:t>
            </w:r>
            <w:r w:rsidR="009518D0">
              <w:rPr>
                <w:rFonts w:eastAsiaTheme="minorEastAsia"/>
                <w:color w:val="auto"/>
                <w:lang w:eastAsia="en-AU"/>
              </w:rPr>
              <w:tab/>
            </w:r>
            <w:r w:rsidR="009518D0" w:rsidRPr="005C12B8">
              <w:rPr>
                <w:rStyle w:val="Hyperlink"/>
              </w:rPr>
              <w:t>Purposes and uses of disability data</w:t>
            </w:r>
            <w:r w:rsidR="009518D0">
              <w:rPr>
                <w:webHidden/>
              </w:rPr>
              <w:tab/>
            </w:r>
            <w:r w:rsidR="009518D0">
              <w:rPr>
                <w:webHidden/>
              </w:rPr>
              <w:fldChar w:fldCharType="begin"/>
            </w:r>
            <w:r w:rsidR="009518D0">
              <w:rPr>
                <w:webHidden/>
              </w:rPr>
              <w:instrText xml:space="preserve"> PAGEREF _Toc135388367 \h </w:instrText>
            </w:r>
            <w:r w:rsidR="009518D0">
              <w:rPr>
                <w:webHidden/>
              </w:rPr>
            </w:r>
            <w:r w:rsidR="009518D0">
              <w:rPr>
                <w:webHidden/>
              </w:rPr>
              <w:fldChar w:fldCharType="separate"/>
            </w:r>
            <w:r w:rsidR="00985133">
              <w:rPr>
                <w:webHidden/>
              </w:rPr>
              <w:t>7</w:t>
            </w:r>
            <w:r w:rsidR="009518D0">
              <w:rPr>
                <w:webHidden/>
              </w:rPr>
              <w:fldChar w:fldCharType="end"/>
            </w:r>
          </w:hyperlink>
        </w:p>
        <w:p w14:paraId="72057177" w14:textId="6F7EFCBA" w:rsidR="009518D0" w:rsidRDefault="00000000">
          <w:pPr>
            <w:pStyle w:val="TOC2"/>
            <w:tabs>
              <w:tab w:val="left" w:pos="1100"/>
            </w:tabs>
            <w:rPr>
              <w:rFonts w:eastAsiaTheme="minorEastAsia"/>
              <w:color w:val="auto"/>
              <w:lang w:eastAsia="en-AU"/>
            </w:rPr>
          </w:pPr>
          <w:hyperlink w:anchor="_Toc135388368" w:history="1">
            <w:r w:rsidR="009518D0" w:rsidRPr="005C12B8">
              <w:rPr>
                <w:rStyle w:val="Hyperlink"/>
              </w:rPr>
              <w:t>3.3.</w:t>
            </w:r>
            <w:r w:rsidR="009518D0">
              <w:rPr>
                <w:rFonts w:eastAsiaTheme="minorEastAsia"/>
                <w:color w:val="auto"/>
                <w:lang w:eastAsia="en-AU"/>
              </w:rPr>
              <w:tab/>
            </w:r>
            <w:r w:rsidR="009518D0" w:rsidRPr="005C12B8">
              <w:rPr>
                <w:rStyle w:val="Hyperlink"/>
              </w:rPr>
              <w:t>Disability data sources and collection methods</w:t>
            </w:r>
            <w:r w:rsidR="009518D0">
              <w:rPr>
                <w:webHidden/>
              </w:rPr>
              <w:tab/>
            </w:r>
            <w:r w:rsidR="009518D0">
              <w:rPr>
                <w:webHidden/>
              </w:rPr>
              <w:fldChar w:fldCharType="begin"/>
            </w:r>
            <w:r w:rsidR="009518D0">
              <w:rPr>
                <w:webHidden/>
              </w:rPr>
              <w:instrText xml:space="preserve"> PAGEREF _Toc135388368 \h </w:instrText>
            </w:r>
            <w:r w:rsidR="009518D0">
              <w:rPr>
                <w:webHidden/>
              </w:rPr>
            </w:r>
            <w:r w:rsidR="009518D0">
              <w:rPr>
                <w:webHidden/>
              </w:rPr>
              <w:fldChar w:fldCharType="separate"/>
            </w:r>
            <w:r w:rsidR="00985133">
              <w:rPr>
                <w:webHidden/>
              </w:rPr>
              <w:t>9</w:t>
            </w:r>
            <w:r w:rsidR="009518D0">
              <w:rPr>
                <w:webHidden/>
              </w:rPr>
              <w:fldChar w:fldCharType="end"/>
            </w:r>
          </w:hyperlink>
        </w:p>
        <w:p w14:paraId="55DED4B8" w14:textId="5500892A" w:rsidR="009518D0" w:rsidRDefault="00000000">
          <w:pPr>
            <w:pStyle w:val="TOC2"/>
            <w:tabs>
              <w:tab w:val="left" w:pos="1100"/>
            </w:tabs>
            <w:rPr>
              <w:rFonts w:eastAsiaTheme="minorEastAsia"/>
              <w:color w:val="auto"/>
              <w:lang w:eastAsia="en-AU"/>
            </w:rPr>
          </w:pPr>
          <w:hyperlink w:anchor="_Toc135388369" w:history="1">
            <w:r w:rsidR="009518D0" w:rsidRPr="005C12B8">
              <w:rPr>
                <w:rStyle w:val="Hyperlink"/>
              </w:rPr>
              <w:t>3.4.</w:t>
            </w:r>
            <w:r w:rsidR="009518D0">
              <w:rPr>
                <w:rFonts w:eastAsiaTheme="minorEastAsia"/>
                <w:color w:val="auto"/>
                <w:lang w:eastAsia="en-AU"/>
              </w:rPr>
              <w:tab/>
            </w:r>
            <w:r w:rsidR="009518D0" w:rsidRPr="005C12B8">
              <w:rPr>
                <w:rStyle w:val="Hyperlink"/>
              </w:rPr>
              <w:t>Disaggregating data by disability</w:t>
            </w:r>
            <w:r w:rsidR="009518D0">
              <w:rPr>
                <w:webHidden/>
              </w:rPr>
              <w:tab/>
            </w:r>
            <w:r w:rsidR="009518D0">
              <w:rPr>
                <w:webHidden/>
              </w:rPr>
              <w:fldChar w:fldCharType="begin"/>
            </w:r>
            <w:r w:rsidR="009518D0">
              <w:rPr>
                <w:webHidden/>
              </w:rPr>
              <w:instrText xml:space="preserve"> PAGEREF _Toc135388369 \h </w:instrText>
            </w:r>
            <w:r w:rsidR="009518D0">
              <w:rPr>
                <w:webHidden/>
              </w:rPr>
            </w:r>
            <w:r w:rsidR="009518D0">
              <w:rPr>
                <w:webHidden/>
              </w:rPr>
              <w:fldChar w:fldCharType="separate"/>
            </w:r>
            <w:r w:rsidR="00985133">
              <w:rPr>
                <w:webHidden/>
              </w:rPr>
              <w:t>13</w:t>
            </w:r>
            <w:r w:rsidR="009518D0">
              <w:rPr>
                <w:webHidden/>
              </w:rPr>
              <w:fldChar w:fldCharType="end"/>
            </w:r>
          </w:hyperlink>
        </w:p>
        <w:p w14:paraId="609385A9" w14:textId="22CB8A7B" w:rsidR="009518D0" w:rsidRDefault="00000000">
          <w:pPr>
            <w:pStyle w:val="TOC2"/>
            <w:tabs>
              <w:tab w:val="left" w:pos="1100"/>
            </w:tabs>
            <w:rPr>
              <w:rFonts w:eastAsiaTheme="minorEastAsia"/>
              <w:color w:val="auto"/>
              <w:lang w:eastAsia="en-AU"/>
            </w:rPr>
          </w:pPr>
          <w:hyperlink w:anchor="_Toc135388370" w:history="1">
            <w:r w:rsidR="009518D0" w:rsidRPr="005C12B8">
              <w:rPr>
                <w:rStyle w:val="Hyperlink"/>
              </w:rPr>
              <w:t>3.5.</w:t>
            </w:r>
            <w:r w:rsidR="009518D0">
              <w:rPr>
                <w:rFonts w:eastAsiaTheme="minorEastAsia"/>
                <w:color w:val="auto"/>
                <w:lang w:eastAsia="en-AU"/>
              </w:rPr>
              <w:tab/>
            </w:r>
            <w:r w:rsidR="009518D0" w:rsidRPr="005C12B8">
              <w:rPr>
                <w:rStyle w:val="Hyperlink"/>
              </w:rPr>
              <w:t>Routine/systematic versus targeted data collection</w:t>
            </w:r>
            <w:r w:rsidR="009518D0">
              <w:rPr>
                <w:webHidden/>
              </w:rPr>
              <w:tab/>
            </w:r>
            <w:r w:rsidR="009518D0">
              <w:rPr>
                <w:webHidden/>
              </w:rPr>
              <w:fldChar w:fldCharType="begin"/>
            </w:r>
            <w:r w:rsidR="009518D0">
              <w:rPr>
                <w:webHidden/>
              </w:rPr>
              <w:instrText xml:space="preserve"> PAGEREF _Toc135388370 \h </w:instrText>
            </w:r>
            <w:r w:rsidR="009518D0">
              <w:rPr>
                <w:webHidden/>
              </w:rPr>
            </w:r>
            <w:r w:rsidR="009518D0">
              <w:rPr>
                <w:webHidden/>
              </w:rPr>
              <w:fldChar w:fldCharType="separate"/>
            </w:r>
            <w:r w:rsidR="00985133">
              <w:rPr>
                <w:webHidden/>
              </w:rPr>
              <w:t>16</w:t>
            </w:r>
            <w:r w:rsidR="009518D0">
              <w:rPr>
                <w:webHidden/>
              </w:rPr>
              <w:fldChar w:fldCharType="end"/>
            </w:r>
          </w:hyperlink>
        </w:p>
        <w:p w14:paraId="167B970A" w14:textId="21C66311" w:rsidR="009518D0" w:rsidRDefault="00000000">
          <w:pPr>
            <w:pStyle w:val="TOC2"/>
            <w:tabs>
              <w:tab w:val="left" w:pos="1100"/>
            </w:tabs>
            <w:rPr>
              <w:rFonts w:eastAsiaTheme="minorEastAsia"/>
              <w:color w:val="auto"/>
              <w:lang w:eastAsia="en-AU"/>
            </w:rPr>
          </w:pPr>
          <w:hyperlink w:anchor="_Toc135388371" w:history="1">
            <w:r w:rsidR="009518D0" w:rsidRPr="005C12B8">
              <w:rPr>
                <w:rStyle w:val="Hyperlink"/>
              </w:rPr>
              <w:t>3.6.</w:t>
            </w:r>
            <w:r w:rsidR="009518D0">
              <w:rPr>
                <w:rFonts w:eastAsiaTheme="minorEastAsia"/>
                <w:color w:val="auto"/>
                <w:lang w:eastAsia="en-AU"/>
              </w:rPr>
              <w:tab/>
            </w:r>
            <w:r w:rsidR="009518D0" w:rsidRPr="005C12B8">
              <w:rPr>
                <w:rStyle w:val="Hyperlink"/>
              </w:rPr>
              <w:t>Feasibility, resourcing and process considerations</w:t>
            </w:r>
            <w:r w:rsidR="009518D0">
              <w:rPr>
                <w:webHidden/>
              </w:rPr>
              <w:tab/>
            </w:r>
            <w:r w:rsidR="009518D0">
              <w:rPr>
                <w:webHidden/>
              </w:rPr>
              <w:fldChar w:fldCharType="begin"/>
            </w:r>
            <w:r w:rsidR="009518D0">
              <w:rPr>
                <w:webHidden/>
              </w:rPr>
              <w:instrText xml:space="preserve"> PAGEREF _Toc135388371 \h </w:instrText>
            </w:r>
            <w:r w:rsidR="009518D0">
              <w:rPr>
                <w:webHidden/>
              </w:rPr>
            </w:r>
            <w:r w:rsidR="009518D0">
              <w:rPr>
                <w:webHidden/>
              </w:rPr>
              <w:fldChar w:fldCharType="separate"/>
            </w:r>
            <w:r w:rsidR="00985133">
              <w:rPr>
                <w:webHidden/>
              </w:rPr>
              <w:t>19</w:t>
            </w:r>
            <w:r w:rsidR="009518D0">
              <w:rPr>
                <w:webHidden/>
              </w:rPr>
              <w:fldChar w:fldCharType="end"/>
            </w:r>
          </w:hyperlink>
        </w:p>
        <w:p w14:paraId="1E5E0AAA" w14:textId="103FC42A" w:rsidR="009518D0" w:rsidRDefault="00000000">
          <w:pPr>
            <w:pStyle w:val="TOC2"/>
            <w:tabs>
              <w:tab w:val="left" w:pos="1100"/>
            </w:tabs>
            <w:rPr>
              <w:rFonts w:eastAsiaTheme="minorEastAsia"/>
              <w:color w:val="auto"/>
              <w:lang w:eastAsia="en-AU"/>
            </w:rPr>
          </w:pPr>
          <w:hyperlink w:anchor="_Toc135388372" w:history="1">
            <w:r w:rsidR="009518D0" w:rsidRPr="005C12B8">
              <w:rPr>
                <w:rStyle w:val="Hyperlink"/>
              </w:rPr>
              <w:t>3.7.</w:t>
            </w:r>
            <w:r w:rsidR="009518D0">
              <w:rPr>
                <w:rFonts w:eastAsiaTheme="minorEastAsia"/>
                <w:color w:val="auto"/>
                <w:lang w:eastAsia="en-AU"/>
              </w:rPr>
              <w:tab/>
            </w:r>
            <w:r w:rsidR="009518D0" w:rsidRPr="005C12B8">
              <w:rPr>
                <w:rStyle w:val="Hyperlink"/>
              </w:rPr>
              <w:t>Ethical considerations</w:t>
            </w:r>
            <w:r w:rsidR="009518D0">
              <w:rPr>
                <w:webHidden/>
              </w:rPr>
              <w:tab/>
            </w:r>
            <w:r w:rsidR="009518D0">
              <w:rPr>
                <w:webHidden/>
              </w:rPr>
              <w:fldChar w:fldCharType="begin"/>
            </w:r>
            <w:r w:rsidR="009518D0">
              <w:rPr>
                <w:webHidden/>
              </w:rPr>
              <w:instrText xml:space="preserve"> PAGEREF _Toc135388372 \h </w:instrText>
            </w:r>
            <w:r w:rsidR="009518D0">
              <w:rPr>
                <w:webHidden/>
              </w:rPr>
            </w:r>
            <w:r w:rsidR="009518D0">
              <w:rPr>
                <w:webHidden/>
              </w:rPr>
              <w:fldChar w:fldCharType="separate"/>
            </w:r>
            <w:r w:rsidR="00985133">
              <w:rPr>
                <w:webHidden/>
              </w:rPr>
              <w:t>22</w:t>
            </w:r>
            <w:r w:rsidR="009518D0">
              <w:rPr>
                <w:webHidden/>
              </w:rPr>
              <w:fldChar w:fldCharType="end"/>
            </w:r>
          </w:hyperlink>
        </w:p>
        <w:p w14:paraId="18CBDFCC" w14:textId="564E5389" w:rsidR="009518D0" w:rsidRDefault="00000000">
          <w:pPr>
            <w:pStyle w:val="TOC1"/>
            <w:tabs>
              <w:tab w:val="left" w:pos="720"/>
            </w:tabs>
            <w:rPr>
              <w:rFonts w:eastAsiaTheme="minorEastAsia"/>
              <w:b w:val="0"/>
              <w:noProof/>
              <w:color w:val="auto"/>
              <w:lang w:eastAsia="en-AU"/>
            </w:rPr>
          </w:pPr>
          <w:hyperlink w:anchor="_Toc135388373" w:history="1">
            <w:r w:rsidR="009518D0" w:rsidRPr="005C12B8">
              <w:rPr>
                <w:rStyle w:val="Hyperlink"/>
                <w:noProof/>
              </w:rPr>
              <w:t>4.</w:t>
            </w:r>
            <w:r w:rsidR="009518D0">
              <w:rPr>
                <w:rFonts w:eastAsiaTheme="minorEastAsia"/>
                <w:b w:val="0"/>
                <w:noProof/>
                <w:color w:val="auto"/>
                <w:lang w:eastAsia="en-AU"/>
              </w:rPr>
              <w:tab/>
            </w:r>
            <w:r w:rsidR="009518D0" w:rsidRPr="005C12B8">
              <w:rPr>
                <w:rStyle w:val="Hyperlink"/>
                <w:noProof/>
              </w:rPr>
              <w:t>Conclusions and recommendations</w:t>
            </w:r>
            <w:r w:rsidR="009518D0">
              <w:rPr>
                <w:noProof/>
                <w:webHidden/>
              </w:rPr>
              <w:tab/>
            </w:r>
            <w:r w:rsidR="009518D0">
              <w:rPr>
                <w:noProof/>
                <w:webHidden/>
              </w:rPr>
              <w:fldChar w:fldCharType="begin"/>
            </w:r>
            <w:r w:rsidR="009518D0">
              <w:rPr>
                <w:noProof/>
                <w:webHidden/>
              </w:rPr>
              <w:instrText xml:space="preserve"> PAGEREF _Toc135388373 \h </w:instrText>
            </w:r>
            <w:r w:rsidR="009518D0">
              <w:rPr>
                <w:noProof/>
                <w:webHidden/>
              </w:rPr>
            </w:r>
            <w:r w:rsidR="009518D0">
              <w:rPr>
                <w:noProof/>
                <w:webHidden/>
              </w:rPr>
              <w:fldChar w:fldCharType="separate"/>
            </w:r>
            <w:r w:rsidR="00985133">
              <w:rPr>
                <w:noProof/>
                <w:webHidden/>
              </w:rPr>
              <w:t>23</w:t>
            </w:r>
            <w:r w:rsidR="009518D0">
              <w:rPr>
                <w:noProof/>
                <w:webHidden/>
              </w:rPr>
              <w:fldChar w:fldCharType="end"/>
            </w:r>
          </w:hyperlink>
        </w:p>
        <w:p w14:paraId="605545E3" w14:textId="6E87994E" w:rsidR="009518D0" w:rsidRDefault="00000000">
          <w:pPr>
            <w:pStyle w:val="TOC1"/>
            <w:rPr>
              <w:rFonts w:eastAsiaTheme="minorEastAsia"/>
              <w:b w:val="0"/>
              <w:noProof/>
              <w:color w:val="auto"/>
              <w:lang w:eastAsia="en-AU"/>
            </w:rPr>
          </w:pPr>
          <w:hyperlink w:anchor="_Toc135388374" w:history="1">
            <w:r w:rsidR="009518D0" w:rsidRPr="005C12B8">
              <w:rPr>
                <w:rStyle w:val="Hyperlink"/>
                <w:noProof/>
              </w:rPr>
              <w:t>Annex 1: Evidence summary protocol</w:t>
            </w:r>
            <w:r w:rsidR="009518D0">
              <w:rPr>
                <w:noProof/>
                <w:webHidden/>
              </w:rPr>
              <w:tab/>
            </w:r>
            <w:r w:rsidR="009518D0">
              <w:rPr>
                <w:noProof/>
                <w:webHidden/>
              </w:rPr>
              <w:fldChar w:fldCharType="begin"/>
            </w:r>
            <w:r w:rsidR="009518D0">
              <w:rPr>
                <w:noProof/>
                <w:webHidden/>
              </w:rPr>
              <w:instrText xml:space="preserve"> PAGEREF _Toc135388374 \h </w:instrText>
            </w:r>
            <w:r w:rsidR="009518D0">
              <w:rPr>
                <w:noProof/>
                <w:webHidden/>
              </w:rPr>
            </w:r>
            <w:r w:rsidR="009518D0">
              <w:rPr>
                <w:noProof/>
                <w:webHidden/>
              </w:rPr>
              <w:fldChar w:fldCharType="separate"/>
            </w:r>
            <w:r w:rsidR="00985133">
              <w:rPr>
                <w:noProof/>
                <w:webHidden/>
              </w:rPr>
              <w:t>27</w:t>
            </w:r>
            <w:r w:rsidR="009518D0">
              <w:rPr>
                <w:noProof/>
                <w:webHidden/>
              </w:rPr>
              <w:fldChar w:fldCharType="end"/>
            </w:r>
          </w:hyperlink>
        </w:p>
        <w:p w14:paraId="4266F8D2" w14:textId="29634859" w:rsidR="009518D0" w:rsidRDefault="00000000">
          <w:pPr>
            <w:pStyle w:val="TOC2"/>
            <w:rPr>
              <w:rFonts w:eastAsiaTheme="minorEastAsia"/>
              <w:color w:val="auto"/>
              <w:lang w:eastAsia="en-AU"/>
            </w:rPr>
          </w:pPr>
          <w:hyperlink w:anchor="_Toc135388375" w:history="1">
            <w:r w:rsidR="009518D0" w:rsidRPr="005C12B8">
              <w:rPr>
                <w:rStyle w:val="Hyperlink"/>
              </w:rPr>
              <w:t>Key learning question</w:t>
            </w:r>
            <w:r w:rsidR="009518D0">
              <w:rPr>
                <w:webHidden/>
              </w:rPr>
              <w:tab/>
            </w:r>
            <w:r w:rsidR="009518D0">
              <w:rPr>
                <w:webHidden/>
              </w:rPr>
              <w:fldChar w:fldCharType="begin"/>
            </w:r>
            <w:r w:rsidR="009518D0">
              <w:rPr>
                <w:webHidden/>
              </w:rPr>
              <w:instrText xml:space="preserve"> PAGEREF _Toc135388375 \h </w:instrText>
            </w:r>
            <w:r w:rsidR="009518D0">
              <w:rPr>
                <w:webHidden/>
              </w:rPr>
            </w:r>
            <w:r w:rsidR="009518D0">
              <w:rPr>
                <w:webHidden/>
              </w:rPr>
              <w:fldChar w:fldCharType="separate"/>
            </w:r>
            <w:r w:rsidR="00985133">
              <w:rPr>
                <w:webHidden/>
              </w:rPr>
              <w:t>27</w:t>
            </w:r>
            <w:r w:rsidR="009518D0">
              <w:rPr>
                <w:webHidden/>
              </w:rPr>
              <w:fldChar w:fldCharType="end"/>
            </w:r>
          </w:hyperlink>
        </w:p>
        <w:p w14:paraId="03646496" w14:textId="54887E91" w:rsidR="009518D0" w:rsidRDefault="00000000">
          <w:pPr>
            <w:pStyle w:val="TOC2"/>
            <w:rPr>
              <w:rFonts w:eastAsiaTheme="minorEastAsia"/>
              <w:color w:val="auto"/>
              <w:lang w:eastAsia="en-AU"/>
            </w:rPr>
          </w:pPr>
          <w:hyperlink w:anchor="_Toc135388376" w:history="1">
            <w:r w:rsidR="009518D0" w:rsidRPr="005C12B8">
              <w:rPr>
                <w:rStyle w:val="Hyperlink"/>
              </w:rPr>
              <w:t>Learning themes and areas of enquiry</w:t>
            </w:r>
            <w:r w:rsidR="009518D0">
              <w:rPr>
                <w:webHidden/>
              </w:rPr>
              <w:tab/>
            </w:r>
            <w:r w:rsidR="009518D0">
              <w:rPr>
                <w:webHidden/>
              </w:rPr>
              <w:fldChar w:fldCharType="begin"/>
            </w:r>
            <w:r w:rsidR="009518D0">
              <w:rPr>
                <w:webHidden/>
              </w:rPr>
              <w:instrText xml:space="preserve"> PAGEREF _Toc135388376 \h </w:instrText>
            </w:r>
            <w:r w:rsidR="009518D0">
              <w:rPr>
                <w:webHidden/>
              </w:rPr>
            </w:r>
            <w:r w:rsidR="009518D0">
              <w:rPr>
                <w:webHidden/>
              </w:rPr>
              <w:fldChar w:fldCharType="separate"/>
            </w:r>
            <w:r w:rsidR="00985133">
              <w:rPr>
                <w:webHidden/>
              </w:rPr>
              <w:t>27</w:t>
            </w:r>
            <w:r w:rsidR="009518D0">
              <w:rPr>
                <w:webHidden/>
              </w:rPr>
              <w:fldChar w:fldCharType="end"/>
            </w:r>
          </w:hyperlink>
        </w:p>
        <w:p w14:paraId="3D738F3B" w14:textId="4234C4F5" w:rsidR="009518D0" w:rsidRDefault="00000000">
          <w:pPr>
            <w:pStyle w:val="TOC2"/>
            <w:rPr>
              <w:rFonts w:eastAsiaTheme="minorEastAsia"/>
              <w:color w:val="auto"/>
              <w:lang w:eastAsia="en-AU"/>
            </w:rPr>
          </w:pPr>
          <w:hyperlink w:anchor="_Toc135388377" w:history="1">
            <w:r w:rsidR="009518D0" w:rsidRPr="005C12B8">
              <w:rPr>
                <w:rStyle w:val="Hyperlink"/>
              </w:rPr>
              <w:t>Desk review protocol</w:t>
            </w:r>
            <w:r w:rsidR="009518D0">
              <w:rPr>
                <w:webHidden/>
              </w:rPr>
              <w:tab/>
            </w:r>
            <w:r w:rsidR="009518D0">
              <w:rPr>
                <w:webHidden/>
              </w:rPr>
              <w:fldChar w:fldCharType="begin"/>
            </w:r>
            <w:r w:rsidR="009518D0">
              <w:rPr>
                <w:webHidden/>
              </w:rPr>
              <w:instrText xml:space="preserve"> PAGEREF _Toc135388377 \h </w:instrText>
            </w:r>
            <w:r w:rsidR="009518D0">
              <w:rPr>
                <w:webHidden/>
              </w:rPr>
            </w:r>
            <w:r w:rsidR="009518D0">
              <w:rPr>
                <w:webHidden/>
              </w:rPr>
              <w:fldChar w:fldCharType="separate"/>
            </w:r>
            <w:r w:rsidR="00985133">
              <w:rPr>
                <w:webHidden/>
              </w:rPr>
              <w:t>28</w:t>
            </w:r>
            <w:r w:rsidR="009518D0">
              <w:rPr>
                <w:webHidden/>
              </w:rPr>
              <w:fldChar w:fldCharType="end"/>
            </w:r>
          </w:hyperlink>
        </w:p>
        <w:p w14:paraId="154AA1E1" w14:textId="02EFCCCF" w:rsidR="009518D0" w:rsidRDefault="00000000">
          <w:pPr>
            <w:pStyle w:val="TOC2"/>
            <w:rPr>
              <w:rFonts w:eastAsiaTheme="minorEastAsia"/>
              <w:color w:val="auto"/>
              <w:lang w:eastAsia="en-AU"/>
            </w:rPr>
          </w:pPr>
          <w:hyperlink w:anchor="_Toc135388378" w:history="1">
            <w:r w:rsidR="009518D0" w:rsidRPr="005C12B8">
              <w:rPr>
                <w:rStyle w:val="Hyperlink"/>
              </w:rPr>
              <w:t>Academic and grey literature searches</w:t>
            </w:r>
            <w:r w:rsidR="009518D0">
              <w:rPr>
                <w:webHidden/>
              </w:rPr>
              <w:tab/>
            </w:r>
            <w:r w:rsidR="009518D0">
              <w:rPr>
                <w:webHidden/>
              </w:rPr>
              <w:fldChar w:fldCharType="begin"/>
            </w:r>
            <w:r w:rsidR="009518D0">
              <w:rPr>
                <w:webHidden/>
              </w:rPr>
              <w:instrText xml:space="preserve"> PAGEREF _Toc135388378 \h </w:instrText>
            </w:r>
            <w:r w:rsidR="009518D0">
              <w:rPr>
                <w:webHidden/>
              </w:rPr>
            </w:r>
            <w:r w:rsidR="009518D0">
              <w:rPr>
                <w:webHidden/>
              </w:rPr>
              <w:fldChar w:fldCharType="separate"/>
            </w:r>
            <w:r w:rsidR="00985133">
              <w:rPr>
                <w:webHidden/>
              </w:rPr>
              <w:t>29</w:t>
            </w:r>
            <w:r w:rsidR="009518D0">
              <w:rPr>
                <w:webHidden/>
              </w:rPr>
              <w:fldChar w:fldCharType="end"/>
            </w:r>
          </w:hyperlink>
        </w:p>
        <w:p w14:paraId="6B30E73D" w14:textId="044FB61C" w:rsidR="009518D0" w:rsidRDefault="00000000">
          <w:pPr>
            <w:pStyle w:val="TOC2"/>
            <w:rPr>
              <w:rFonts w:eastAsiaTheme="minorEastAsia"/>
              <w:color w:val="auto"/>
              <w:lang w:eastAsia="en-AU"/>
            </w:rPr>
          </w:pPr>
          <w:hyperlink w:anchor="_Toc135388379" w:history="1">
            <w:r w:rsidR="009518D0" w:rsidRPr="005C12B8">
              <w:rPr>
                <w:rStyle w:val="Hyperlink"/>
              </w:rPr>
              <w:t>Key informant interviews</w:t>
            </w:r>
            <w:r w:rsidR="009518D0">
              <w:rPr>
                <w:webHidden/>
              </w:rPr>
              <w:tab/>
            </w:r>
            <w:r w:rsidR="009518D0">
              <w:rPr>
                <w:webHidden/>
              </w:rPr>
              <w:fldChar w:fldCharType="begin"/>
            </w:r>
            <w:r w:rsidR="009518D0">
              <w:rPr>
                <w:webHidden/>
              </w:rPr>
              <w:instrText xml:space="preserve"> PAGEREF _Toc135388379 \h </w:instrText>
            </w:r>
            <w:r w:rsidR="009518D0">
              <w:rPr>
                <w:webHidden/>
              </w:rPr>
            </w:r>
            <w:r w:rsidR="009518D0">
              <w:rPr>
                <w:webHidden/>
              </w:rPr>
              <w:fldChar w:fldCharType="separate"/>
            </w:r>
            <w:r w:rsidR="00985133">
              <w:rPr>
                <w:webHidden/>
              </w:rPr>
              <w:t>30</w:t>
            </w:r>
            <w:r w:rsidR="009518D0">
              <w:rPr>
                <w:webHidden/>
              </w:rPr>
              <w:fldChar w:fldCharType="end"/>
            </w:r>
          </w:hyperlink>
        </w:p>
        <w:p w14:paraId="4E23F955" w14:textId="71A52AA3" w:rsidR="009518D0" w:rsidRDefault="00000000">
          <w:pPr>
            <w:pStyle w:val="TOC2"/>
            <w:rPr>
              <w:rFonts w:eastAsiaTheme="minorEastAsia"/>
              <w:color w:val="auto"/>
              <w:lang w:eastAsia="en-AU"/>
            </w:rPr>
          </w:pPr>
          <w:hyperlink w:anchor="_Toc135388380" w:history="1">
            <w:r w:rsidR="009518D0" w:rsidRPr="005C12B8">
              <w:rPr>
                <w:rStyle w:val="Hyperlink"/>
              </w:rPr>
              <w:t xml:space="preserve">Interview guide – </w:t>
            </w:r>
            <w:r w:rsidR="00C11684">
              <w:rPr>
                <w:rStyle w:val="Hyperlink"/>
              </w:rPr>
              <w:t>The Fred Hollows Foundation</w:t>
            </w:r>
            <w:r w:rsidR="009518D0" w:rsidRPr="005C12B8">
              <w:rPr>
                <w:rStyle w:val="Hyperlink"/>
              </w:rPr>
              <w:t xml:space="preserve"> staff</w:t>
            </w:r>
            <w:r w:rsidR="009518D0">
              <w:rPr>
                <w:webHidden/>
              </w:rPr>
              <w:tab/>
            </w:r>
            <w:r w:rsidR="009518D0">
              <w:rPr>
                <w:webHidden/>
              </w:rPr>
              <w:fldChar w:fldCharType="begin"/>
            </w:r>
            <w:r w:rsidR="009518D0">
              <w:rPr>
                <w:webHidden/>
              </w:rPr>
              <w:instrText xml:space="preserve"> PAGEREF _Toc135388380 \h </w:instrText>
            </w:r>
            <w:r w:rsidR="009518D0">
              <w:rPr>
                <w:webHidden/>
              </w:rPr>
            </w:r>
            <w:r w:rsidR="009518D0">
              <w:rPr>
                <w:webHidden/>
              </w:rPr>
              <w:fldChar w:fldCharType="separate"/>
            </w:r>
            <w:r w:rsidR="00985133">
              <w:rPr>
                <w:webHidden/>
              </w:rPr>
              <w:t>30</w:t>
            </w:r>
            <w:r w:rsidR="009518D0">
              <w:rPr>
                <w:webHidden/>
              </w:rPr>
              <w:fldChar w:fldCharType="end"/>
            </w:r>
          </w:hyperlink>
        </w:p>
        <w:p w14:paraId="55211A8E" w14:textId="491335F9" w:rsidR="009518D0" w:rsidRDefault="00000000">
          <w:pPr>
            <w:pStyle w:val="TOC2"/>
            <w:rPr>
              <w:rFonts w:eastAsiaTheme="minorEastAsia"/>
              <w:color w:val="auto"/>
              <w:lang w:eastAsia="en-AU"/>
            </w:rPr>
          </w:pPr>
          <w:hyperlink w:anchor="_Toc135388381" w:history="1">
            <w:r w:rsidR="009518D0" w:rsidRPr="005C12B8">
              <w:rPr>
                <w:rStyle w:val="Hyperlink"/>
              </w:rPr>
              <w:t>Interview guide – External</w:t>
            </w:r>
            <w:r w:rsidR="009518D0">
              <w:rPr>
                <w:webHidden/>
              </w:rPr>
              <w:tab/>
            </w:r>
            <w:r w:rsidR="009518D0">
              <w:rPr>
                <w:webHidden/>
              </w:rPr>
              <w:fldChar w:fldCharType="begin"/>
            </w:r>
            <w:r w:rsidR="009518D0">
              <w:rPr>
                <w:webHidden/>
              </w:rPr>
              <w:instrText xml:space="preserve"> PAGEREF _Toc135388381 \h </w:instrText>
            </w:r>
            <w:r w:rsidR="009518D0">
              <w:rPr>
                <w:webHidden/>
              </w:rPr>
            </w:r>
            <w:r w:rsidR="009518D0">
              <w:rPr>
                <w:webHidden/>
              </w:rPr>
              <w:fldChar w:fldCharType="separate"/>
            </w:r>
            <w:r w:rsidR="00985133">
              <w:rPr>
                <w:webHidden/>
              </w:rPr>
              <w:t>31</w:t>
            </w:r>
            <w:r w:rsidR="009518D0">
              <w:rPr>
                <w:webHidden/>
              </w:rPr>
              <w:fldChar w:fldCharType="end"/>
            </w:r>
          </w:hyperlink>
        </w:p>
        <w:p w14:paraId="720489E8" w14:textId="05D1CAA9" w:rsidR="009518D0" w:rsidRDefault="00000000">
          <w:pPr>
            <w:pStyle w:val="TOC1"/>
            <w:rPr>
              <w:rFonts w:eastAsiaTheme="minorEastAsia"/>
              <w:b w:val="0"/>
              <w:noProof/>
              <w:color w:val="auto"/>
              <w:lang w:eastAsia="en-AU"/>
            </w:rPr>
          </w:pPr>
          <w:hyperlink w:anchor="_Toc135388382" w:history="1">
            <w:r w:rsidR="009518D0" w:rsidRPr="005C12B8">
              <w:rPr>
                <w:rStyle w:val="Hyperlink"/>
                <w:noProof/>
              </w:rPr>
              <w:t>Annex 2: Annotated bibliography</w:t>
            </w:r>
            <w:r w:rsidR="009518D0">
              <w:rPr>
                <w:noProof/>
                <w:webHidden/>
              </w:rPr>
              <w:tab/>
            </w:r>
            <w:r w:rsidR="009518D0">
              <w:rPr>
                <w:noProof/>
                <w:webHidden/>
              </w:rPr>
              <w:fldChar w:fldCharType="begin"/>
            </w:r>
            <w:r w:rsidR="009518D0">
              <w:rPr>
                <w:noProof/>
                <w:webHidden/>
              </w:rPr>
              <w:instrText xml:space="preserve"> PAGEREF _Toc135388382 \h </w:instrText>
            </w:r>
            <w:r w:rsidR="009518D0">
              <w:rPr>
                <w:noProof/>
                <w:webHidden/>
              </w:rPr>
            </w:r>
            <w:r w:rsidR="009518D0">
              <w:rPr>
                <w:noProof/>
                <w:webHidden/>
              </w:rPr>
              <w:fldChar w:fldCharType="separate"/>
            </w:r>
            <w:r w:rsidR="00985133">
              <w:rPr>
                <w:noProof/>
                <w:webHidden/>
              </w:rPr>
              <w:t>32</w:t>
            </w:r>
            <w:r w:rsidR="009518D0">
              <w:rPr>
                <w:noProof/>
                <w:webHidden/>
              </w:rPr>
              <w:fldChar w:fldCharType="end"/>
            </w:r>
          </w:hyperlink>
        </w:p>
        <w:p w14:paraId="332B7EB2" w14:textId="44468C81" w:rsidR="009518D0" w:rsidRDefault="00000000">
          <w:pPr>
            <w:pStyle w:val="TOC1"/>
            <w:rPr>
              <w:rFonts w:eastAsiaTheme="minorEastAsia"/>
              <w:b w:val="0"/>
              <w:noProof/>
              <w:color w:val="auto"/>
              <w:lang w:eastAsia="en-AU"/>
            </w:rPr>
          </w:pPr>
          <w:hyperlink w:anchor="_Toc135388383" w:history="1">
            <w:r w:rsidR="009518D0" w:rsidRPr="005C12B8">
              <w:rPr>
                <w:rStyle w:val="Hyperlink"/>
                <w:noProof/>
              </w:rPr>
              <w:t>Annex 3: Additional bibliographies</w:t>
            </w:r>
            <w:r w:rsidR="009518D0">
              <w:rPr>
                <w:noProof/>
                <w:webHidden/>
              </w:rPr>
              <w:tab/>
            </w:r>
            <w:r w:rsidR="009518D0">
              <w:rPr>
                <w:noProof/>
                <w:webHidden/>
              </w:rPr>
              <w:fldChar w:fldCharType="begin"/>
            </w:r>
            <w:r w:rsidR="009518D0">
              <w:rPr>
                <w:noProof/>
                <w:webHidden/>
              </w:rPr>
              <w:instrText xml:space="preserve"> PAGEREF _Toc135388383 \h </w:instrText>
            </w:r>
            <w:r w:rsidR="009518D0">
              <w:rPr>
                <w:noProof/>
                <w:webHidden/>
              </w:rPr>
            </w:r>
            <w:r w:rsidR="009518D0">
              <w:rPr>
                <w:noProof/>
                <w:webHidden/>
              </w:rPr>
              <w:fldChar w:fldCharType="separate"/>
            </w:r>
            <w:r w:rsidR="00985133">
              <w:rPr>
                <w:noProof/>
                <w:webHidden/>
              </w:rPr>
              <w:t>40</w:t>
            </w:r>
            <w:r w:rsidR="009518D0">
              <w:rPr>
                <w:noProof/>
                <w:webHidden/>
              </w:rPr>
              <w:fldChar w:fldCharType="end"/>
            </w:r>
          </w:hyperlink>
        </w:p>
        <w:p w14:paraId="26A83E6B" w14:textId="5FAEE11B" w:rsidR="009518D0" w:rsidRDefault="00000000">
          <w:pPr>
            <w:pStyle w:val="TOC2"/>
            <w:rPr>
              <w:rFonts w:eastAsiaTheme="minorEastAsia"/>
              <w:color w:val="auto"/>
              <w:lang w:eastAsia="en-AU"/>
            </w:rPr>
          </w:pPr>
          <w:hyperlink w:anchor="_Toc135388384" w:history="1">
            <w:r w:rsidR="009518D0" w:rsidRPr="005C12B8">
              <w:rPr>
                <w:rStyle w:val="Hyperlink"/>
              </w:rPr>
              <w:t>Key reference literature on disability data in health</w:t>
            </w:r>
            <w:r w:rsidR="009518D0">
              <w:rPr>
                <w:webHidden/>
              </w:rPr>
              <w:tab/>
            </w:r>
            <w:r w:rsidR="009518D0">
              <w:rPr>
                <w:webHidden/>
              </w:rPr>
              <w:fldChar w:fldCharType="begin"/>
            </w:r>
            <w:r w:rsidR="009518D0">
              <w:rPr>
                <w:webHidden/>
              </w:rPr>
              <w:instrText xml:space="preserve"> PAGEREF _Toc135388384 \h </w:instrText>
            </w:r>
            <w:r w:rsidR="009518D0">
              <w:rPr>
                <w:webHidden/>
              </w:rPr>
            </w:r>
            <w:r w:rsidR="009518D0">
              <w:rPr>
                <w:webHidden/>
              </w:rPr>
              <w:fldChar w:fldCharType="separate"/>
            </w:r>
            <w:r w:rsidR="00985133">
              <w:rPr>
                <w:webHidden/>
              </w:rPr>
              <w:t>40</w:t>
            </w:r>
            <w:r w:rsidR="009518D0">
              <w:rPr>
                <w:webHidden/>
              </w:rPr>
              <w:fldChar w:fldCharType="end"/>
            </w:r>
          </w:hyperlink>
        </w:p>
        <w:p w14:paraId="1F6F5ADA" w14:textId="115E81B1" w:rsidR="009518D0" w:rsidRDefault="00000000">
          <w:pPr>
            <w:pStyle w:val="TOC2"/>
            <w:rPr>
              <w:rFonts w:eastAsiaTheme="minorEastAsia"/>
              <w:color w:val="auto"/>
              <w:lang w:eastAsia="en-AU"/>
            </w:rPr>
          </w:pPr>
          <w:hyperlink w:anchor="_Toc135388385" w:history="1">
            <w:r w:rsidR="009518D0" w:rsidRPr="005C12B8">
              <w:rPr>
                <w:rStyle w:val="Hyperlink"/>
              </w:rPr>
              <w:t>Background literature on disability data in development and humanitarian programming</w:t>
            </w:r>
            <w:r w:rsidR="009518D0">
              <w:rPr>
                <w:webHidden/>
              </w:rPr>
              <w:tab/>
            </w:r>
            <w:r w:rsidR="009518D0">
              <w:rPr>
                <w:webHidden/>
              </w:rPr>
              <w:fldChar w:fldCharType="begin"/>
            </w:r>
            <w:r w:rsidR="009518D0">
              <w:rPr>
                <w:webHidden/>
              </w:rPr>
              <w:instrText xml:space="preserve"> PAGEREF _Toc135388385 \h </w:instrText>
            </w:r>
            <w:r w:rsidR="009518D0">
              <w:rPr>
                <w:webHidden/>
              </w:rPr>
            </w:r>
            <w:r w:rsidR="009518D0">
              <w:rPr>
                <w:webHidden/>
              </w:rPr>
              <w:fldChar w:fldCharType="separate"/>
            </w:r>
            <w:r w:rsidR="00985133">
              <w:rPr>
                <w:webHidden/>
              </w:rPr>
              <w:t>40</w:t>
            </w:r>
            <w:r w:rsidR="009518D0">
              <w:rPr>
                <w:webHidden/>
              </w:rPr>
              <w:fldChar w:fldCharType="end"/>
            </w:r>
          </w:hyperlink>
        </w:p>
        <w:p w14:paraId="0E7D37E8" w14:textId="0DFD17B8" w:rsidR="00AD1A1A" w:rsidRDefault="009518D0">
          <w:r>
            <w:rPr>
              <w:b/>
              <w:sz w:val="26"/>
            </w:rPr>
            <w:fldChar w:fldCharType="end"/>
          </w:r>
        </w:p>
      </w:sdtContent>
    </w:sdt>
    <w:p w14:paraId="74D67587" w14:textId="1246282D" w:rsidR="0084730A" w:rsidRDefault="0084730A">
      <w:pPr>
        <w:rPr>
          <w:b/>
          <w:bCs/>
          <w:sz w:val="24"/>
          <w:szCs w:val="24"/>
        </w:rPr>
      </w:pPr>
      <w:r>
        <w:br w:type="page"/>
      </w:r>
    </w:p>
    <w:p w14:paraId="6267A95D" w14:textId="7F8ADD25" w:rsidR="002660B2" w:rsidRDefault="00D909E5" w:rsidP="002660B2">
      <w:pPr>
        <w:pStyle w:val="Heading1"/>
      </w:pPr>
      <w:bookmarkStart w:id="0" w:name="_Toc135388362"/>
      <w:r>
        <w:lastRenderedPageBreak/>
        <w:t>A</w:t>
      </w:r>
      <w:bookmarkEnd w:id="0"/>
      <w:r w:rsidR="00772999">
        <w:t>cknowledgments</w:t>
      </w:r>
    </w:p>
    <w:p w14:paraId="0F185A28" w14:textId="02E8AFE6" w:rsidR="00772999" w:rsidRDefault="00182221" w:rsidP="00772999">
      <w:pPr>
        <w:rPr>
          <w:lang w:eastAsia="en-AU"/>
        </w:rPr>
      </w:pPr>
      <w:r>
        <w:t>The Fred Hollows Foundation acknowledges the support of the Australian Government through the Australian</w:t>
      </w:r>
      <w:r>
        <w:rPr>
          <w:lang w:eastAsia="en-AU"/>
        </w:rPr>
        <w:t xml:space="preserve"> NGO Cooperation Program (ANCP) in funding this study.</w:t>
      </w:r>
    </w:p>
    <w:p w14:paraId="27AC2A7D" w14:textId="5095606C" w:rsidR="002A151A" w:rsidRDefault="002A151A" w:rsidP="00772999">
      <w:pPr>
        <w:rPr>
          <w:lang w:eastAsia="en-AU"/>
        </w:rPr>
      </w:pPr>
      <w:r>
        <w:rPr>
          <w:bCs/>
          <w:szCs w:val="16"/>
        </w:rPr>
        <w:t xml:space="preserve">The author acknowledges valuable </w:t>
      </w:r>
      <w:r w:rsidRPr="001C03B0">
        <w:rPr>
          <w:bCs/>
          <w:szCs w:val="16"/>
        </w:rPr>
        <w:t xml:space="preserve">peer review </w:t>
      </w:r>
      <w:r>
        <w:rPr>
          <w:bCs/>
          <w:szCs w:val="16"/>
        </w:rPr>
        <w:t xml:space="preserve">comments received </w:t>
      </w:r>
      <w:r w:rsidRPr="001C03B0">
        <w:rPr>
          <w:bCs/>
          <w:szCs w:val="16"/>
        </w:rPr>
        <w:t>from Aleisha Carroll and Sander Schot</w:t>
      </w:r>
      <w:r>
        <w:rPr>
          <w:bCs/>
          <w:szCs w:val="16"/>
        </w:rPr>
        <w:t xml:space="preserve"> (IAG), </w:t>
      </w:r>
      <w:r w:rsidRPr="001C03B0">
        <w:rPr>
          <w:bCs/>
          <w:szCs w:val="16"/>
        </w:rPr>
        <w:t>Manjula Marella</w:t>
      </w:r>
      <w:r>
        <w:rPr>
          <w:bCs/>
          <w:szCs w:val="16"/>
        </w:rPr>
        <w:t xml:space="preserve"> (</w:t>
      </w:r>
      <w:r w:rsidRPr="001C03B0">
        <w:rPr>
          <w:bCs/>
          <w:szCs w:val="16"/>
        </w:rPr>
        <w:t>Nossal Institute for Global Health, University of Melbourne</w:t>
      </w:r>
      <w:r>
        <w:rPr>
          <w:bCs/>
          <w:szCs w:val="16"/>
        </w:rPr>
        <w:t>), and Lisa Johnson and Brandon Ah Tong (</w:t>
      </w:r>
      <w:r w:rsidR="008E2EF8">
        <w:rPr>
          <w:bCs/>
          <w:szCs w:val="16"/>
        </w:rPr>
        <w:t>The Fred Hollows Foundation</w:t>
      </w:r>
      <w:r>
        <w:rPr>
          <w:bCs/>
          <w:szCs w:val="16"/>
        </w:rPr>
        <w:t xml:space="preserve">). </w:t>
      </w:r>
    </w:p>
    <w:p w14:paraId="66496264" w14:textId="77777777" w:rsidR="00950EDD" w:rsidRPr="00950EDD" w:rsidRDefault="00950EDD" w:rsidP="007E1FB9">
      <w:pPr>
        <w:pStyle w:val="Heading1"/>
      </w:pPr>
      <w:r w:rsidRPr="00950EDD">
        <w:t>Disclaimer</w:t>
      </w:r>
    </w:p>
    <w:p w14:paraId="285070C5" w14:textId="77777777" w:rsidR="00950EDD" w:rsidRPr="00950EDD" w:rsidRDefault="00950EDD" w:rsidP="00950EDD">
      <w:pPr>
        <w:shd w:val="clear" w:color="auto" w:fill="FFFFFF"/>
        <w:spacing w:before="100" w:beforeAutospacing="1" w:after="100" w:afterAutospacing="1"/>
        <w:rPr>
          <w:lang w:eastAsia="en-AU"/>
        </w:rPr>
      </w:pPr>
      <w:r w:rsidRPr="00950EDD">
        <w:rPr>
          <w:lang w:eastAsia="en-AU"/>
        </w:rPr>
        <w:t>This publication has been funded by the Australian Government through the Department of Foreign Affairs and Trade. The views expressed in this publication are the author's alone and are not necessarily the views of the Australian Government.</w:t>
      </w:r>
    </w:p>
    <w:p w14:paraId="044D5F75" w14:textId="54D4FDB5" w:rsidR="00772999" w:rsidRPr="00772999" w:rsidRDefault="00772999" w:rsidP="00772999">
      <w:pPr>
        <w:pStyle w:val="Heading1"/>
      </w:pPr>
      <w:r>
        <w:t>Abbreviations</w:t>
      </w:r>
    </w:p>
    <w:tbl>
      <w:tblPr>
        <w:tblStyle w:val="IAGListTable"/>
        <w:tblW w:w="0" w:type="auto"/>
        <w:tblLook w:val="0420" w:firstRow="1" w:lastRow="0" w:firstColumn="0" w:lastColumn="0" w:noHBand="0" w:noVBand="1"/>
      </w:tblPr>
      <w:tblGrid>
        <w:gridCol w:w="2835"/>
        <w:gridCol w:w="7257"/>
      </w:tblGrid>
      <w:tr w:rsidR="002660B2" w14:paraId="185997A0" w14:textId="77777777" w:rsidTr="002660B2">
        <w:trPr>
          <w:cnfStyle w:val="100000000000" w:firstRow="1" w:lastRow="0" w:firstColumn="0" w:lastColumn="0" w:oddVBand="0" w:evenVBand="0" w:oddHBand="0" w:evenHBand="0" w:firstRowFirstColumn="0" w:firstRowLastColumn="0" w:lastRowFirstColumn="0" w:lastRowLastColumn="0"/>
        </w:trPr>
        <w:tc>
          <w:tcPr>
            <w:tcW w:w="2835" w:type="dxa"/>
          </w:tcPr>
          <w:p w14:paraId="3DD92F39" w14:textId="77777777" w:rsidR="002660B2" w:rsidRDefault="002660B2" w:rsidP="002660B2">
            <w:r>
              <w:t>Acronym</w:t>
            </w:r>
          </w:p>
        </w:tc>
        <w:tc>
          <w:tcPr>
            <w:tcW w:w="7257" w:type="dxa"/>
          </w:tcPr>
          <w:p w14:paraId="4FF580C3" w14:textId="77777777" w:rsidR="002660B2" w:rsidRDefault="002660B2" w:rsidP="002660B2">
            <w:r>
              <w:t>Description</w:t>
            </w:r>
          </w:p>
        </w:tc>
      </w:tr>
      <w:tr w:rsidR="002660B2" w14:paraId="319BB662"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401AA659" w14:textId="1585DC27" w:rsidR="002660B2" w:rsidRDefault="009F65A4" w:rsidP="002660B2">
            <w:r>
              <w:t>CFM</w:t>
            </w:r>
          </w:p>
        </w:tc>
        <w:tc>
          <w:tcPr>
            <w:tcW w:w="7257" w:type="dxa"/>
          </w:tcPr>
          <w:p w14:paraId="596C7A46" w14:textId="5BF1FF75" w:rsidR="002660B2" w:rsidRDefault="009F65A4" w:rsidP="002660B2">
            <w:r>
              <w:t xml:space="preserve">WG/UNICEF </w:t>
            </w:r>
            <w:r w:rsidR="008511B3">
              <w:t>Child Functioning Module</w:t>
            </w:r>
          </w:p>
        </w:tc>
      </w:tr>
      <w:tr w:rsidR="00151239" w14:paraId="45CBC35C"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709DA6BE" w14:textId="11A5F85F" w:rsidR="00151239" w:rsidRDefault="00151239" w:rsidP="002660B2">
            <w:r>
              <w:t>CRPD</w:t>
            </w:r>
          </w:p>
        </w:tc>
        <w:tc>
          <w:tcPr>
            <w:tcW w:w="7257" w:type="dxa"/>
          </w:tcPr>
          <w:p w14:paraId="6B12A834" w14:textId="4AE7ED97" w:rsidR="00151239" w:rsidRDefault="00151239" w:rsidP="002660B2">
            <w:r>
              <w:t>UN Convention on the Rights of Persons with Disabilities</w:t>
            </w:r>
          </w:p>
        </w:tc>
      </w:tr>
      <w:tr w:rsidR="00F857FA" w14:paraId="3BFECAFB"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00E80213" w14:textId="3122A91D" w:rsidR="00F857FA" w:rsidRDefault="00F857FA" w:rsidP="002660B2">
            <w:r>
              <w:t>CSC</w:t>
            </w:r>
          </w:p>
        </w:tc>
        <w:tc>
          <w:tcPr>
            <w:tcW w:w="7257" w:type="dxa"/>
          </w:tcPr>
          <w:p w14:paraId="5FA4452D" w14:textId="49BA3A8B" w:rsidR="00F857FA" w:rsidRDefault="00F857FA" w:rsidP="002660B2">
            <w:r>
              <w:t>Cataract surgical coverage</w:t>
            </w:r>
          </w:p>
        </w:tc>
      </w:tr>
      <w:tr w:rsidR="002660B2" w14:paraId="6B7F456E"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3DB0971B" w14:textId="7E021E9F" w:rsidR="002660B2" w:rsidRDefault="0000368B" w:rsidP="002660B2">
            <w:r>
              <w:t>DDD</w:t>
            </w:r>
          </w:p>
        </w:tc>
        <w:tc>
          <w:tcPr>
            <w:tcW w:w="7257" w:type="dxa"/>
          </w:tcPr>
          <w:p w14:paraId="3AA1C7EB" w14:textId="554811BC" w:rsidR="002660B2" w:rsidRDefault="0000368B" w:rsidP="002660B2">
            <w:r>
              <w:t>Disability-disaggregated data</w:t>
            </w:r>
          </w:p>
        </w:tc>
      </w:tr>
      <w:tr w:rsidR="0000368B" w14:paraId="085AC9C4"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045A454B" w14:textId="1347FE37" w:rsidR="0000368B" w:rsidRDefault="0000368B" w:rsidP="002660B2">
            <w:r>
              <w:t>HMIS</w:t>
            </w:r>
          </w:p>
        </w:tc>
        <w:tc>
          <w:tcPr>
            <w:tcW w:w="7257" w:type="dxa"/>
          </w:tcPr>
          <w:p w14:paraId="1620EE18" w14:textId="6D91A34F" w:rsidR="0000368B" w:rsidRDefault="0000368B" w:rsidP="002660B2">
            <w:r>
              <w:t>Health management information system</w:t>
            </w:r>
          </w:p>
        </w:tc>
      </w:tr>
      <w:tr w:rsidR="002660B2" w14:paraId="0D9CBAC2"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0C977C9C" w14:textId="4E325188" w:rsidR="002660B2" w:rsidRDefault="0000368B" w:rsidP="002660B2">
            <w:r>
              <w:t>IAG</w:t>
            </w:r>
          </w:p>
        </w:tc>
        <w:tc>
          <w:tcPr>
            <w:tcW w:w="7257" w:type="dxa"/>
          </w:tcPr>
          <w:p w14:paraId="2A9412AA" w14:textId="3D1C37B2" w:rsidR="002660B2" w:rsidRDefault="0000368B" w:rsidP="002660B2">
            <w:r>
              <w:t>Inclusion Advisory Group, CBM Global</w:t>
            </w:r>
          </w:p>
        </w:tc>
      </w:tr>
      <w:tr w:rsidR="002660B2" w14:paraId="7ADA694C"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50B56464" w14:textId="399962A9" w:rsidR="002660B2" w:rsidRDefault="00AB187C" w:rsidP="002660B2">
            <w:r>
              <w:t>LMIC</w:t>
            </w:r>
          </w:p>
        </w:tc>
        <w:tc>
          <w:tcPr>
            <w:tcW w:w="7257" w:type="dxa"/>
          </w:tcPr>
          <w:p w14:paraId="59D927D8" w14:textId="4352B904" w:rsidR="002660B2" w:rsidRDefault="00AB187C" w:rsidP="002660B2">
            <w:r>
              <w:t>Low- to middle-income country</w:t>
            </w:r>
          </w:p>
        </w:tc>
      </w:tr>
      <w:tr w:rsidR="00A5405A" w14:paraId="6DC0706C"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3D5E1FBF" w14:textId="30B82C88" w:rsidR="00A5405A" w:rsidRDefault="00464556" w:rsidP="002660B2">
            <w:r>
              <w:t>NGO</w:t>
            </w:r>
          </w:p>
        </w:tc>
        <w:tc>
          <w:tcPr>
            <w:tcW w:w="7257" w:type="dxa"/>
          </w:tcPr>
          <w:p w14:paraId="5EF4BB40" w14:textId="017B8BA9" w:rsidR="00A5405A" w:rsidRDefault="00464556" w:rsidP="002660B2">
            <w:r>
              <w:t>Non-government organisation</w:t>
            </w:r>
          </w:p>
        </w:tc>
      </w:tr>
      <w:tr w:rsidR="00A5405A" w14:paraId="0CBCC7E8"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5BF26040" w14:textId="393FF327" w:rsidR="00A5405A" w:rsidRDefault="00464556" w:rsidP="002660B2">
            <w:r>
              <w:t>OPD</w:t>
            </w:r>
          </w:p>
        </w:tc>
        <w:tc>
          <w:tcPr>
            <w:tcW w:w="7257" w:type="dxa"/>
          </w:tcPr>
          <w:p w14:paraId="7C6368EA" w14:textId="47E5E422" w:rsidR="00A5405A" w:rsidRDefault="00464556" w:rsidP="002660B2">
            <w:r>
              <w:t>Organisation of persons with disabilities</w:t>
            </w:r>
          </w:p>
        </w:tc>
      </w:tr>
      <w:tr w:rsidR="00A5405A" w14:paraId="5C22549C"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35354AD1" w14:textId="2E32754A" w:rsidR="00A5405A" w:rsidRDefault="0000368B" w:rsidP="002660B2">
            <w:r>
              <w:t>RAAB</w:t>
            </w:r>
          </w:p>
        </w:tc>
        <w:tc>
          <w:tcPr>
            <w:tcW w:w="7257" w:type="dxa"/>
          </w:tcPr>
          <w:p w14:paraId="5884078B" w14:textId="1CD37EDB" w:rsidR="00A5405A" w:rsidRDefault="0000368B" w:rsidP="002660B2">
            <w:r>
              <w:t>Rapid Assessment of Avoidable Blindness</w:t>
            </w:r>
          </w:p>
        </w:tc>
      </w:tr>
      <w:tr w:rsidR="00A5405A" w14:paraId="0B015392"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5A079416" w14:textId="2FAD894C" w:rsidR="00A5405A" w:rsidRDefault="00151239" w:rsidP="002660B2">
            <w:r>
              <w:t>SDGs</w:t>
            </w:r>
          </w:p>
        </w:tc>
        <w:tc>
          <w:tcPr>
            <w:tcW w:w="7257" w:type="dxa"/>
          </w:tcPr>
          <w:p w14:paraId="6FC8F238" w14:textId="6BD27F30" w:rsidR="00A5405A" w:rsidRDefault="00151239" w:rsidP="002660B2">
            <w:r>
              <w:t>Sustainable Development Goals</w:t>
            </w:r>
          </w:p>
        </w:tc>
      </w:tr>
      <w:tr w:rsidR="00A5405A" w14:paraId="53E534C9"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2D448897" w14:textId="4085CC78" w:rsidR="00A5405A" w:rsidRDefault="00A5405A" w:rsidP="002660B2">
            <w:r>
              <w:t>VI</w:t>
            </w:r>
          </w:p>
        </w:tc>
        <w:tc>
          <w:tcPr>
            <w:tcW w:w="7257" w:type="dxa"/>
          </w:tcPr>
          <w:p w14:paraId="3938D236" w14:textId="187CB4EF" w:rsidR="00A5405A" w:rsidRDefault="00A5405A" w:rsidP="002660B2">
            <w:r>
              <w:t>Vision impairment</w:t>
            </w:r>
          </w:p>
        </w:tc>
      </w:tr>
      <w:tr w:rsidR="00A5405A" w14:paraId="7C849DB3"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217BDBCA" w14:textId="30C236F0" w:rsidR="00A5405A" w:rsidRDefault="00A5405A" w:rsidP="002660B2">
            <w:r>
              <w:t>WG</w:t>
            </w:r>
          </w:p>
        </w:tc>
        <w:tc>
          <w:tcPr>
            <w:tcW w:w="7257" w:type="dxa"/>
          </w:tcPr>
          <w:p w14:paraId="27AB951F" w14:textId="134A2AE0" w:rsidR="00A5405A" w:rsidRDefault="00A5405A" w:rsidP="002660B2">
            <w:r>
              <w:t xml:space="preserve">Washington Group </w:t>
            </w:r>
            <w:r w:rsidR="008437E7">
              <w:t>on Disability Statistics</w:t>
            </w:r>
          </w:p>
        </w:tc>
      </w:tr>
      <w:tr w:rsidR="008437E7" w14:paraId="2D3FB835"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1890ACC5" w14:textId="414E42B4" w:rsidR="008437E7" w:rsidRDefault="007839DA" w:rsidP="002660B2">
            <w:r>
              <w:t>WG-ES</w:t>
            </w:r>
          </w:p>
        </w:tc>
        <w:tc>
          <w:tcPr>
            <w:tcW w:w="7257" w:type="dxa"/>
          </w:tcPr>
          <w:p w14:paraId="0140C7DA" w14:textId="4610D4FA" w:rsidR="008437E7" w:rsidRDefault="009F65A4" w:rsidP="002660B2">
            <w:r>
              <w:t>WG Extended Set of Questions on Functioning</w:t>
            </w:r>
          </w:p>
        </w:tc>
      </w:tr>
      <w:tr w:rsidR="008437E7" w14:paraId="1A48605D"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5F4BEF72" w14:textId="29055B42" w:rsidR="008437E7" w:rsidRDefault="007839DA" w:rsidP="002660B2">
            <w:r>
              <w:t>WG-SS</w:t>
            </w:r>
          </w:p>
        </w:tc>
        <w:tc>
          <w:tcPr>
            <w:tcW w:w="7257" w:type="dxa"/>
          </w:tcPr>
          <w:p w14:paraId="7F2DC76B" w14:textId="5784A07E" w:rsidR="008437E7" w:rsidRDefault="009F65A4" w:rsidP="002660B2">
            <w:r>
              <w:t>WG Short Set of Questions on Functioning</w:t>
            </w:r>
          </w:p>
        </w:tc>
      </w:tr>
      <w:tr w:rsidR="007839DA" w14:paraId="38962DE9" w14:textId="77777777" w:rsidTr="002660B2">
        <w:trPr>
          <w:cnfStyle w:val="000000010000" w:firstRow="0" w:lastRow="0" w:firstColumn="0" w:lastColumn="0" w:oddVBand="0" w:evenVBand="0" w:oddHBand="0" w:evenHBand="1" w:firstRowFirstColumn="0" w:firstRowLastColumn="0" w:lastRowFirstColumn="0" w:lastRowLastColumn="0"/>
        </w:trPr>
        <w:tc>
          <w:tcPr>
            <w:tcW w:w="2835" w:type="dxa"/>
          </w:tcPr>
          <w:p w14:paraId="0C7235A8" w14:textId="05F738F3" w:rsidR="007839DA" w:rsidRDefault="007839DA" w:rsidP="002660B2">
            <w:r>
              <w:t>WG-SS Enhanced</w:t>
            </w:r>
          </w:p>
        </w:tc>
        <w:tc>
          <w:tcPr>
            <w:tcW w:w="7257" w:type="dxa"/>
          </w:tcPr>
          <w:p w14:paraId="14811F30" w14:textId="4ABA4AFD" w:rsidR="007839DA" w:rsidRDefault="009F65A4" w:rsidP="002660B2">
            <w:r>
              <w:t>WG Short Set of Questions on Functioning – Enhanced</w:t>
            </w:r>
          </w:p>
        </w:tc>
      </w:tr>
      <w:tr w:rsidR="00825475" w14:paraId="7071DD87" w14:textId="77777777" w:rsidTr="002660B2">
        <w:trPr>
          <w:cnfStyle w:val="000000100000" w:firstRow="0" w:lastRow="0" w:firstColumn="0" w:lastColumn="0" w:oddVBand="0" w:evenVBand="0" w:oddHBand="1" w:evenHBand="0" w:firstRowFirstColumn="0" w:firstRowLastColumn="0" w:lastRowFirstColumn="0" w:lastRowLastColumn="0"/>
        </w:trPr>
        <w:tc>
          <w:tcPr>
            <w:tcW w:w="2835" w:type="dxa"/>
          </w:tcPr>
          <w:p w14:paraId="50C643D6" w14:textId="5F2E4DDE" w:rsidR="00825475" w:rsidRDefault="00825475" w:rsidP="002660B2">
            <w:r>
              <w:t>WHO</w:t>
            </w:r>
          </w:p>
        </w:tc>
        <w:tc>
          <w:tcPr>
            <w:tcW w:w="7257" w:type="dxa"/>
          </w:tcPr>
          <w:p w14:paraId="6125566F" w14:textId="7887C6FC" w:rsidR="00825475" w:rsidRDefault="00825475" w:rsidP="002660B2">
            <w:r>
              <w:t>World Health Organization</w:t>
            </w:r>
          </w:p>
        </w:tc>
      </w:tr>
    </w:tbl>
    <w:p w14:paraId="28069507" w14:textId="77777777" w:rsidR="002660B2" w:rsidRDefault="002660B2">
      <w:r>
        <w:br w:type="page"/>
      </w:r>
    </w:p>
    <w:p w14:paraId="32C44C7F" w14:textId="5944D9DB" w:rsidR="00AD1A1A" w:rsidRDefault="003F3BDA" w:rsidP="00226B27">
      <w:pPr>
        <w:pStyle w:val="Heading1"/>
        <w:numPr>
          <w:ilvl w:val="0"/>
          <w:numId w:val="15"/>
        </w:numPr>
      </w:pPr>
      <w:bookmarkStart w:id="1" w:name="_Toc135388363"/>
      <w:r>
        <w:lastRenderedPageBreak/>
        <w:t>Introduction</w:t>
      </w:r>
      <w:bookmarkEnd w:id="1"/>
    </w:p>
    <w:p w14:paraId="2FB77223" w14:textId="65B80EFD" w:rsidR="001C6FAD" w:rsidRDefault="003A5DED" w:rsidP="001C6FAD">
      <w:r>
        <w:t xml:space="preserve">The collection and use of disability data is essential to the design, monitoring and evaluation of disability-inclusive programs and services. </w:t>
      </w:r>
      <w:r w:rsidR="00980401">
        <w:t xml:space="preserve">There are a range of well-documented tools relating to disability data, </w:t>
      </w:r>
      <w:r w:rsidR="003D2BBF">
        <w:t xml:space="preserve">as well as a body of practical experience and learning on their application within development and humanitarian programming. However, </w:t>
      </w:r>
      <w:r w:rsidR="00C12C6D">
        <w:t xml:space="preserve">in the eye health sector, </w:t>
      </w:r>
      <w:r w:rsidR="001A7F9C">
        <w:t xml:space="preserve">it is only more recently that approaches to disability data have been introduced, and </w:t>
      </w:r>
      <w:r w:rsidR="00B10D5B">
        <w:t xml:space="preserve">evidence-based frameworks or guidance for the sector are unavailable. </w:t>
      </w:r>
    </w:p>
    <w:p w14:paraId="320DC9E4" w14:textId="7F032904" w:rsidR="00F647D9" w:rsidRDefault="00B10D5B" w:rsidP="00541109">
      <w:r>
        <w:t xml:space="preserve">In 2022, </w:t>
      </w:r>
      <w:r w:rsidR="00A03F62">
        <w:t xml:space="preserve">the </w:t>
      </w:r>
      <w:r>
        <w:t>Fred Hollows Foundation (</w:t>
      </w:r>
      <w:r w:rsidR="00A80819">
        <w:t>The Foundation</w:t>
      </w:r>
      <w:r>
        <w:t xml:space="preserve">) </w:t>
      </w:r>
      <w:r w:rsidR="003949DC">
        <w:t xml:space="preserve">engaged the Inclusion Advisory Group at CBM Global (IAG) to </w:t>
      </w:r>
      <w:r w:rsidR="006B0700">
        <w:t xml:space="preserve">prepare an evidence summary on disability data and eye health. </w:t>
      </w:r>
      <w:r w:rsidR="00541109">
        <w:t>The evidence summary aims to answer the question:</w:t>
      </w:r>
      <w:r w:rsidR="00D24BD1">
        <w:t xml:space="preserve"> </w:t>
      </w:r>
      <w:r w:rsidR="00541109" w:rsidRPr="00F647D9">
        <w:rPr>
          <w:i/>
          <w:iCs/>
        </w:rPr>
        <w:t>What is the evidence on the collection and use of disability data in eye health programming in low and middle-income countries?</w:t>
      </w:r>
      <w:r w:rsidR="00D24BD1">
        <w:t xml:space="preserve"> </w:t>
      </w:r>
    </w:p>
    <w:p w14:paraId="0D627393" w14:textId="4C499EA3" w:rsidR="00541109" w:rsidRDefault="002F7190" w:rsidP="00541109">
      <w:r>
        <w:t xml:space="preserve">A literature review was </w:t>
      </w:r>
      <w:proofErr w:type="gramStart"/>
      <w:r>
        <w:t>conducted</w:t>
      </w:r>
      <w:proofErr w:type="gramEnd"/>
      <w:r>
        <w:t xml:space="preserve"> and key informant interviews held with eye health sector organisations in early 2023. </w:t>
      </w:r>
      <w:r w:rsidR="00F647D9">
        <w:t xml:space="preserve">A summary of evidence, as well as conclusions and possible ways forward for the sector, are presented in this report. </w:t>
      </w:r>
    </w:p>
    <w:p w14:paraId="3F57A1AA" w14:textId="0EA5C9A7" w:rsidR="00F647D9" w:rsidRDefault="00647F91" w:rsidP="00541109">
      <w:r>
        <w:t xml:space="preserve">It is hoped that this report </w:t>
      </w:r>
      <w:r w:rsidR="00464556">
        <w:t xml:space="preserve">provides a useful basis for the design of disability data approaches in eye health programming in low and middle-income countries (LMICs). It is also intended to inform the design of technical guidance and training on disability data for </w:t>
      </w:r>
      <w:r w:rsidR="00C11684">
        <w:t>The Foundation</w:t>
      </w:r>
      <w:r w:rsidR="00464556">
        <w:t xml:space="preserve"> staff and partners. </w:t>
      </w:r>
    </w:p>
    <w:p w14:paraId="02BCC893" w14:textId="45F237AB" w:rsidR="003F3BDA" w:rsidRDefault="003F3BDA" w:rsidP="00226B27">
      <w:pPr>
        <w:pStyle w:val="Heading1"/>
        <w:numPr>
          <w:ilvl w:val="0"/>
          <w:numId w:val="15"/>
        </w:numPr>
      </w:pPr>
      <w:bookmarkStart w:id="2" w:name="_Toc135388364"/>
      <w:r>
        <w:t>Methodology</w:t>
      </w:r>
      <w:bookmarkEnd w:id="2"/>
    </w:p>
    <w:p w14:paraId="246EB8C3" w14:textId="3973B601" w:rsidR="0025412F" w:rsidRDefault="007A27ED" w:rsidP="0025412F">
      <w:r>
        <w:t xml:space="preserve">This evidence summary is based on a rapid review of literature and targeted </w:t>
      </w:r>
      <w:r w:rsidR="00D670B2">
        <w:t xml:space="preserve">key informant interviews, as described in </w:t>
      </w:r>
      <w:r w:rsidR="00950601">
        <w:t xml:space="preserve">more detail in </w:t>
      </w:r>
      <w:r w:rsidR="00D670B2">
        <w:t xml:space="preserve">the Evidence Summary Protocol </w:t>
      </w:r>
      <w:bookmarkStart w:id="3" w:name="_Hlk129946600"/>
      <w:r w:rsidR="00D670B2">
        <w:t>(</w:t>
      </w:r>
      <w:hyperlink w:anchor="_Annex_1:_Evidence" w:history="1">
        <w:r w:rsidR="00D17039" w:rsidRPr="00D17039">
          <w:rPr>
            <w:rStyle w:val="Hyperlink"/>
          </w:rPr>
          <w:t>Annex 1</w:t>
        </w:r>
      </w:hyperlink>
      <w:r w:rsidR="00D670B2">
        <w:t>)</w:t>
      </w:r>
      <w:bookmarkEnd w:id="3"/>
      <w:r w:rsidR="00D670B2">
        <w:t>.</w:t>
      </w:r>
      <w:r w:rsidR="00950601">
        <w:t xml:space="preserve"> </w:t>
      </w:r>
    </w:p>
    <w:p w14:paraId="1F05F0D2" w14:textId="5250A6BF" w:rsidR="00C052D9" w:rsidRDefault="00D44657" w:rsidP="00C052D9">
      <w:r>
        <w:t>The review of academic and grey liter</w:t>
      </w:r>
      <w:r w:rsidR="00FB212C">
        <w:t>a</w:t>
      </w:r>
      <w:r>
        <w:t xml:space="preserve">ture </w:t>
      </w:r>
      <w:r w:rsidR="00950601">
        <w:t>was conducted in Scopus, PubMed</w:t>
      </w:r>
      <w:r w:rsidR="00BF1F82">
        <w:t>, Google Scholar and Google</w:t>
      </w:r>
      <w:r w:rsidR="00FB212C">
        <w:t xml:space="preserve">, with the inclusion criteria of </w:t>
      </w:r>
      <w:r w:rsidR="00FB212C" w:rsidRPr="00562829">
        <w:t>“disability data” + “eye health” + “low and middle-income countries”</w:t>
      </w:r>
      <w:r w:rsidR="00FB212C">
        <w:t xml:space="preserve"> (see Annex 1 for search terms). </w:t>
      </w:r>
      <w:r w:rsidR="00C94051" w:rsidRPr="00C94051">
        <w:t>Existing relevant resources produced by or known to IAG were reviewed, including those relating to disability data and eye health</w:t>
      </w:r>
      <w:r w:rsidR="00C052D9">
        <w:t>,</w:t>
      </w:r>
      <w:r w:rsidR="00C94051" w:rsidRPr="00C94051">
        <w:t xml:space="preserve"> as well as resources relating to </w:t>
      </w:r>
      <w:bookmarkStart w:id="4" w:name="_Hlk131368145"/>
      <w:r w:rsidR="00C94051" w:rsidRPr="00C94051">
        <w:t>disability data in</w:t>
      </w:r>
      <w:r w:rsidR="00A03F62">
        <w:t xml:space="preserve"> the</w:t>
      </w:r>
      <w:r w:rsidR="00C94051" w:rsidRPr="00C94051">
        <w:t xml:space="preserve"> development and humanitarian sectors and in general health programming</w:t>
      </w:r>
      <w:bookmarkEnd w:id="4"/>
      <w:r w:rsidR="00C94051" w:rsidRPr="00C94051">
        <w:t>.</w:t>
      </w:r>
      <w:r w:rsidR="00C052D9">
        <w:t xml:space="preserve"> </w:t>
      </w:r>
    </w:p>
    <w:p w14:paraId="4D3E5002" w14:textId="15BEA9A2" w:rsidR="00082A1B" w:rsidRDefault="00897826" w:rsidP="00897826">
      <w:r>
        <w:t xml:space="preserve">Key informant interviews </w:t>
      </w:r>
      <w:r w:rsidR="00FA6287">
        <w:t xml:space="preserve">were conducted with staff from </w:t>
      </w:r>
      <w:r w:rsidR="001D361C">
        <w:t xml:space="preserve">six international </w:t>
      </w:r>
      <w:r w:rsidR="00782C1C">
        <w:t xml:space="preserve">disability and </w:t>
      </w:r>
      <w:r w:rsidR="00FA6287">
        <w:t xml:space="preserve">eye health NGOs </w:t>
      </w:r>
      <w:r w:rsidR="00C85365">
        <w:t xml:space="preserve">and one </w:t>
      </w:r>
      <w:r w:rsidR="001D361C">
        <w:t xml:space="preserve">research institute. </w:t>
      </w:r>
      <w:r w:rsidR="00DC4FC6">
        <w:t xml:space="preserve">Interviews included six interviews with </w:t>
      </w:r>
      <w:r w:rsidR="00A80819">
        <w:t xml:space="preserve">The Fred Hollows Foundation </w:t>
      </w:r>
      <w:r w:rsidR="00DC4FC6">
        <w:t xml:space="preserve">staff </w:t>
      </w:r>
      <w:r w:rsidR="008D095A">
        <w:t>(</w:t>
      </w:r>
      <w:r w:rsidR="00DC4FC6">
        <w:t xml:space="preserve">to </w:t>
      </w:r>
      <w:r w:rsidR="003674EC">
        <w:t>understand their organisational context and experience of disability data</w:t>
      </w:r>
      <w:r w:rsidR="008D095A">
        <w:t>)</w:t>
      </w:r>
      <w:r w:rsidR="003674EC">
        <w:t xml:space="preserve">; seven interviews with staff from other </w:t>
      </w:r>
      <w:r w:rsidR="00782C1C">
        <w:t xml:space="preserve">disability and </w:t>
      </w:r>
      <w:r w:rsidR="003674EC">
        <w:t>eye health NGOs</w:t>
      </w:r>
      <w:r w:rsidR="008D095A">
        <w:t>; and one interview with a researcher from a disability and eye health research institute.</w:t>
      </w:r>
    </w:p>
    <w:p w14:paraId="2C470516" w14:textId="0C04AF4C" w:rsidR="004B1368" w:rsidRDefault="004B1368" w:rsidP="00897826">
      <w:r>
        <w:t xml:space="preserve">All data collection and analysis </w:t>
      </w:r>
      <w:proofErr w:type="gramStart"/>
      <w:r>
        <w:t>was</w:t>
      </w:r>
      <w:proofErr w:type="gramEnd"/>
      <w:r>
        <w:t xml:space="preserve"> undertaken by staff from IAG based in Melbourne, Australia, between January and March 2023.</w:t>
      </w:r>
    </w:p>
    <w:p w14:paraId="5FF147BA" w14:textId="45BE12CF" w:rsidR="00E47FA2" w:rsidRDefault="004B1368" w:rsidP="00897826">
      <w:r>
        <w:t>The following limitations to this evidence summary are noted</w:t>
      </w:r>
      <w:r w:rsidR="00E47FA2">
        <w:t>:</w:t>
      </w:r>
    </w:p>
    <w:p w14:paraId="0867D3A6" w14:textId="6720711E" w:rsidR="00E47FA2" w:rsidRDefault="000A1F88" w:rsidP="00E47FA2">
      <w:pPr>
        <w:pStyle w:val="ListParagraph"/>
        <w:numPr>
          <w:ilvl w:val="0"/>
          <w:numId w:val="11"/>
        </w:numPr>
      </w:pPr>
      <w:r>
        <w:t xml:space="preserve">Evidence on the priorities and interests </w:t>
      </w:r>
      <w:r w:rsidR="004B1368">
        <w:t>of organisations of persons with disabilities (</w:t>
      </w:r>
      <w:r w:rsidR="00E47FA2">
        <w:t>OPDs</w:t>
      </w:r>
      <w:r w:rsidR="004B1368">
        <w:t>)</w:t>
      </w:r>
      <w:r w:rsidR="00E47FA2">
        <w:t xml:space="preserve"> </w:t>
      </w:r>
      <w:r>
        <w:t xml:space="preserve">in relation to eye health and disability data has not been captured. </w:t>
      </w:r>
    </w:p>
    <w:p w14:paraId="26B5D6C8" w14:textId="23AB8B35" w:rsidR="004F7346" w:rsidRDefault="004F7346" w:rsidP="00E47FA2">
      <w:pPr>
        <w:pStyle w:val="ListParagraph"/>
        <w:numPr>
          <w:ilvl w:val="0"/>
          <w:numId w:val="11"/>
        </w:numPr>
      </w:pPr>
      <w:r w:rsidRPr="004F7346">
        <w:lastRenderedPageBreak/>
        <w:t xml:space="preserve">Ministries of Health or other government agencies responsible </w:t>
      </w:r>
      <w:r w:rsidR="000D77D9">
        <w:t xml:space="preserve">for </w:t>
      </w:r>
      <w:r>
        <w:t xml:space="preserve">eye health systems </w:t>
      </w:r>
      <w:r w:rsidRPr="004F7346">
        <w:t>were not consulted for this evidence summary</w:t>
      </w:r>
      <w:r>
        <w:t xml:space="preserve">, although their perspectives were captured in some of the studies reported in the literature.  </w:t>
      </w:r>
    </w:p>
    <w:p w14:paraId="106B1FB2" w14:textId="3F94C934" w:rsidR="00187485" w:rsidRDefault="009636F4" w:rsidP="00E47FA2">
      <w:pPr>
        <w:pStyle w:val="ListParagraph"/>
        <w:numPr>
          <w:ilvl w:val="0"/>
          <w:numId w:val="11"/>
        </w:numPr>
      </w:pPr>
      <w:r>
        <w:t>Key international sector coordinating institutions, such as IAPB and WHO, were not consulted for this evidence summary.</w:t>
      </w:r>
    </w:p>
    <w:p w14:paraId="1DD2177E" w14:textId="3FDB3A60" w:rsidR="00187485" w:rsidRDefault="00187485" w:rsidP="00187485">
      <w:pPr>
        <w:pStyle w:val="ListParagraph"/>
        <w:numPr>
          <w:ilvl w:val="0"/>
          <w:numId w:val="11"/>
        </w:numPr>
      </w:pPr>
      <w:r>
        <w:t xml:space="preserve">Resources on </w:t>
      </w:r>
      <w:r w:rsidRPr="00C94051">
        <w:t>disability data in development and humanitarian sectors and in general health programming</w:t>
      </w:r>
      <w:r>
        <w:t xml:space="preserve"> </w:t>
      </w:r>
      <w:r w:rsidR="009636F4">
        <w:t xml:space="preserve">that were known to IAG </w:t>
      </w:r>
      <w:r>
        <w:t xml:space="preserve">informed the </w:t>
      </w:r>
      <w:r w:rsidR="009636F4">
        <w:t xml:space="preserve">analysis and discussion of </w:t>
      </w:r>
      <w:proofErr w:type="gramStart"/>
      <w:r w:rsidR="009636F4">
        <w:t>evidence, but</w:t>
      </w:r>
      <w:proofErr w:type="gramEnd"/>
      <w:r w:rsidR="009636F4">
        <w:t xml:space="preserve"> have not been reviewed or summarised in detail.</w:t>
      </w:r>
    </w:p>
    <w:p w14:paraId="22A0F9E7" w14:textId="0F8DAF10" w:rsidR="003F3BDA" w:rsidRDefault="00F17E25" w:rsidP="00226B27">
      <w:pPr>
        <w:pStyle w:val="Heading1"/>
        <w:numPr>
          <w:ilvl w:val="0"/>
          <w:numId w:val="15"/>
        </w:numPr>
      </w:pPr>
      <w:bookmarkStart w:id="5" w:name="_Toc135388365"/>
      <w:r>
        <w:t>Summary of evidence</w:t>
      </w:r>
      <w:bookmarkEnd w:id="5"/>
    </w:p>
    <w:p w14:paraId="19FDD798" w14:textId="586413CC" w:rsidR="00EA0280" w:rsidRDefault="00EA0280" w:rsidP="00EA0280">
      <w:r>
        <w:t>Overall, there is a limited but growing body of published literature on approaches to disability data within eye health programming in LMICs. Most of the literature reviewed describe</w:t>
      </w:r>
      <w:r w:rsidR="002D65DB">
        <w:t>d</w:t>
      </w:r>
      <w:r>
        <w:t xml:space="preserve"> findings drawn from the eye health programming of two international eye heath NGOs: </w:t>
      </w:r>
      <w:proofErr w:type="spellStart"/>
      <w:r>
        <w:t>Sightsavers</w:t>
      </w:r>
      <w:proofErr w:type="spellEnd"/>
      <w:r>
        <w:t xml:space="preserve"> and CBM International. Other eye health NGOs interviewed for this summary reported </w:t>
      </w:r>
      <w:r w:rsidR="00782C1C">
        <w:t xml:space="preserve">work on disability </w:t>
      </w:r>
      <w:proofErr w:type="gramStart"/>
      <w:r w:rsidR="00782C1C">
        <w:t>data, but</w:t>
      </w:r>
      <w:proofErr w:type="gramEnd"/>
      <w:r w:rsidR="00782C1C">
        <w:t xml:space="preserve"> </w:t>
      </w:r>
      <w:r w:rsidR="002E53D2">
        <w:t>had not publish</w:t>
      </w:r>
      <w:r w:rsidR="002D65DB">
        <w:t>ed</w:t>
      </w:r>
      <w:r w:rsidR="002E53D2">
        <w:t xml:space="preserve"> </w:t>
      </w:r>
      <w:r w:rsidR="00B87434">
        <w:t xml:space="preserve">their </w:t>
      </w:r>
      <w:r w:rsidR="002E53D2">
        <w:t>work.</w:t>
      </w:r>
    </w:p>
    <w:p w14:paraId="1967BF17" w14:textId="77777777" w:rsidR="00741AFF" w:rsidRDefault="00741AFF" w:rsidP="00741AFF">
      <w:r>
        <w:t>There is no universally accepted definition of ‘disability data’. For the purposes of this summary, it will be used to describe all data or information relating to disability. This includes data on individual persons and their characteristics, health situations and experiences. It also encompasses data on health institutions and systems, and on individual components or processes within these – for example, data on the accessibility of hospitals, the participation of persons with disabilities within health system governance or training of staff on disability inclusion.</w:t>
      </w:r>
    </w:p>
    <w:p w14:paraId="3FA96A12" w14:textId="73BB7A0D" w:rsidR="00D21C27" w:rsidRDefault="002258AF" w:rsidP="002258AF">
      <w:r>
        <w:t xml:space="preserve">Evidence from the desk review and key informant interviews is summarised </w:t>
      </w:r>
      <w:r w:rsidR="00EC7965">
        <w:t xml:space="preserve">and discussed </w:t>
      </w:r>
      <w:r>
        <w:t xml:space="preserve">in the sections below. An annotated bibliography of </w:t>
      </w:r>
      <w:r w:rsidR="0057125C">
        <w:t xml:space="preserve">reviewed literature on eye health and disability data in LMICs is presented in </w:t>
      </w:r>
      <w:hyperlink w:anchor="_Annex_2:_Annotated" w:history="1">
        <w:r w:rsidR="0057125C" w:rsidRPr="0057125C">
          <w:rPr>
            <w:rStyle w:val="Hyperlink"/>
          </w:rPr>
          <w:t>Annex 2</w:t>
        </w:r>
      </w:hyperlink>
      <w:r w:rsidR="0057125C">
        <w:t xml:space="preserve">. Additional </w:t>
      </w:r>
      <w:r w:rsidR="00084B12">
        <w:t xml:space="preserve">unannotated bibliographies on key background resources relating to disability data in health and disability data in development/humanitarian programming are provided in </w:t>
      </w:r>
      <w:hyperlink w:anchor="_Annex_3:_Additional" w:history="1">
        <w:r w:rsidR="00EC7965" w:rsidRPr="00EC7965">
          <w:rPr>
            <w:rStyle w:val="Hyperlink"/>
          </w:rPr>
          <w:t>Annex 3</w:t>
        </w:r>
      </w:hyperlink>
      <w:r w:rsidR="00EC7965">
        <w:t>.</w:t>
      </w:r>
    </w:p>
    <w:p w14:paraId="316D1D12" w14:textId="1C96C1BA" w:rsidR="003F3BDA" w:rsidRDefault="00106F53" w:rsidP="00226B27">
      <w:pPr>
        <w:pStyle w:val="Heading2"/>
        <w:numPr>
          <w:ilvl w:val="1"/>
          <w:numId w:val="15"/>
        </w:numPr>
      </w:pPr>
      <w:bookmarkStart w:id="6" w:name="_Toc135388366"/>
      <w:r>
        <w:t xml:space="preserve">Eye health-related </w:t>
      </w:r>
      <w:r w:rsidR="003F3BDA">
        <w:t>disability data</w:t>
      </w:r>
      <w:bookmarkEnd w:id="6"/>
      <w:r w:rsidR="00481A50">
        <w:t xml:space="preserve"> </w:t>
      </w:r>
    </w:p>
    <w:p w14:paraId="10D0BECC" w14:textId="591D57C1" w:rsidR="007F1145" w:rsidRDefault="007F1145" w:rsidP="00B5231A">
      <w:pPr>
        <w:pStyle w:val="Heading3"/>
        <w:numPr>
          <w:ilvl w:val="2"/>
          <w:numId w:val="15"/>
        </w:numPr>
      </w:pPr>
      <w:r>
        <w:t>Findings</w:t>
      </w:r>
    </w:p>
    <w:p w14:paraId="1F7A692A" w14:textId="29071C2D" w:rsidR="002B0D0C" w:rsidRDefault="00741AFF" w:rsidP="00481A50">
      <w:r>
        <w:t>This review found that e</w:t>
      </w:r>
      <w:r w:rsidR="0017681A">
        <w:t>xisting l</w:t>
      </w:r>
      <w:r w:rsidR="003A51C1">
        <w:t>iterature on disability data in eye health programming</w:t>
      </w:r>
      <w:r w:rsidR="0090371B">
        <w:t xml:space="preserve"> </w:t>
      </w:r>
      <w:r>
        <w:t xml:space="preserve">is </w:t>
      </w:r>
      <w:r w:rsidR="00F051A7">
        <w:t>limited to</w:t>
      </w:r>
      <w:r w:rsidR="008A65C5">
        <w:t xml:space="preserve"> </w:t>
      </w:r>
      <w:r w:rsidR="002E405C">
        <w:t xml:space="preserve">the disaggregation </w:t>
      </w:r>
      <w:r w:rsidR="009A7622">
        <w:t>of</w:t>
      </w:r>
      <w:r w:rsidR="002E405C">
        <w:t xml:space="preserve"> data</w:t>
      </w:r>
      <w:r w:rsidR="0017681A">
        <w:t xml:space="preserve"> on individuals</w:t>
      </w:r>
      <w:r w:rsidR="009A7622">
        <w:t xml:space="preserve"> by disability</w:t>
      </w:r>
      <w:r w:rsidR="0017681A">
        <w:t xml:space="preserve"> </w:t>
      </w:r>
      <w:r w:rsidR="002E405C">
        <w:t>– either within the general population</w:t>
      </w:r>
      <w:r w:rsidR="00640A69">
        <w:t xml:space="preserve"> (e.g. surveys </w:t>
      </w:r>
      <w:r w:rsidR="00621030">
        <w:t>seeking</w:t>
      </w:r>
      <w:r w:rsidR="00640A69">
        <w:t xml:space="preserve"> to understand the eye health situations of persons with and without disabilities</w:t>
      </w:r>
      <w:r w:rsidR="00621030">
        <w:t xml:space="preserve"> in a given health service catchment area</w:t>
      </w:r>
      <w:r w:rsidR="00640A69">
        <w:t xml:space="preserve">) </w:t>
      </w:r>
      <w:r w:rsidR="002E405C">
        <w:t xml:space="preserve">or among health </w:t>
      </w:r>
      <w:r w:rsidR="00C55A19">
        <w:t xml:space="preserve">facility </w:t>
      </w:r>
      <w:r w:rsidR="002E405C">
        <w:t>users</w:t>
      </w:r>
      <w:r w:rsidR="00640A69">
        <w:t xml:space="preserve"> (e.g. eye health programs seeking</w:t>
      </w:r>
      <w:r w:rsidR="00621030">
        <w:t xml:space="preserve"> to monitor access to services by persons with and without disabilities)</w:t>
      </w:r>
      <w:r w:rsidR="00C46328">
        <w:t xml:space="preserve">. </w:t>
      </w:r>
      <w:r w:rsidR="001F7694">
        <w:t xml:space="preserve">Other potential indicators of </w:t>
      </w:r>
      <w:r w:rsidR="00FA135C">
        <w:t xml:space="preserve">disability inclusion processes or outcomes </w:t>
      </w:r>
      <w:r w:rsidR="00AE5CDD">
        <w:t xml:space="preserve">were </w:t>
      </w:r>
      <w:r w:rsidR="001F7694">
        <w:t xml:space="preserve">not </w:t>
      </w:r>
      <w:r w:rsidR="00FA135C">
        <w:t>mentioned</w:t>
      </w:r>
      <w:r w:rsidR="00AE5CDD">
        <w:t xml:space="preserve"> in the literature</w:t>
      </w:r>
      <w:r w:rsidR="00FA135C">
        <w:t xml:space="preserve">. </w:t>
      </w:r>
    </w:p>
    <w:p w14:paraId="50676B55" w14:textId="038B140F" w:rsidR="004C73B4" w:rsidRDefault="00741AFF" w:rsidP="00481A50">
      <w:r>
        <w:t>Similarly, k</w:t>
      </w:r>
      <w:r w:rsidR="004C73B4">
        <w:t xml:space="preserve">ey informants </w:t>
      </w:r>
      <w:r w:rsidR="00F93327">
        <w:t xml:space="preserve">from eye health NGOs </w:t>
      </w:r>
      <w:r>
        <w:t xml:space="preserve">only described efforts to disaggregate data on individuals by </w:t>
      </w:r>
      <w:proofErr w:type="gramStart"/>
      <w:r>
        <w:t xml:space="preserve">disability, </w:t>
      </w:r>
      <w:r w:rsidR="007A5C0E">
        <w:t>and</w:t>
      </w:r>
      <w:proofErr w:type="gramEnd"/>
      <w:r w:rsidR="007A5C0E">
        <w:t xml:space="preserve"> </w:t>
      </w:r>
      <w:r w:rsidR="006A3C68">
        <w:t xml:space="preserve">did not </w:t>
      </w:r>
      <w:r w:rsidR="007A5C0E">
        <w:t xml:space="preserve">provide examples of other types of disability data being </w:t>
      </w:r>
      <w:r w:rsidR="00B109E4">
        <w:t xml:space="preserve">regularly </w:t>
      </w:r>
      <w:r w:rsidR="007A5C0E">
        <w:t>collected</w:t>
      </w:r>
      <w:r w:rsidR="006A3C68">
        <w:t xml:space="preserve"> and used in programming</w:t>
      </w:r>
      <w:r w:rsidR="00F93327">
        <w:t xml:space="preserve">. </w:t>
      </w:r>
      <w:r>
        <w:t>At the same time, key informants indicate</w:t>
      </w:r>
      <w:r w:rsidR="00824C5E">
        <w:t>d</w:t>
      </w:r>
      <w:r>
        <w:t xml:space="preserve"> that e</w:t>
      </w:r>
      <w:r w:rsidR="004C73B4">
        <w:t xml:space="preserve">ye health NGOs </w:t>
      </w:r>
      <w:r>
        <w:t>are implementing various measures</w:t>
      </w:r>
      <w:r w:rsidR="00824C5E">
        <w:t xml:space="preserve"> that generate information about disability and inclusion</w:t>
      </w:r>
      <w:r>
        <w:t>, such as accessibility audits or facility self-</w:t>
      </w:r>
      <w:r>
        <w:lastRenderedPageBreak/>
        <w:t>assessments</w:t>
      </w:r>
      <w:r w:rsidR="00824C5E">
        <w:t xml:space="preserve">; however, these were not reported as examples of ‘disability data’. The reasons for this are unclear; it is possible that informants are working with a narrower understanding of ‘disability data’ that excludes such information, or that data from these processes is not being routinely captured or analysed. </w:t>
      </w:r>
    </w:p>
    <w:p w14:paraId="420D75B1" w14:textId="4E5532DE" w:rsidR="00942386" w:rsidRDefault="00942386" w:rsidP="00481A50">
      <w:r>
        <w:t xml:space="preserve">Work is underway in the eye health sector to develop an indicator framework that aligns to the </w:t>
      </w:r>
      <w:r w:rsidR="001B56CE">
        <w:t xml:space="preserve">2019 </w:t>
      </w:r>
      <w:r w:rsidR="00D17E82">
        <w:t>World Report on Vision</w:t>
      </w:r>
      <w:r w:rsidR="00D37FAE">
        <w:t>;</w:t>
      </w:r>
      <w:r w:rsidR="001B56CE">
        <w:rPr>
          <w:rStyle w:val="EndnoteReference"/>
        </w:rPr>
        <w:endnoteReference w:id="2"/>
      </w:r>
      <w:r w:rsidR="00D37FAE">
        <w:t xml:space="preserve"> a set of 22 proposed global eye health indicators has been </w:t>
      </w:r>
      <w:r w:rsidR="00C55A19">
        <w:t xml:space="preserve">proposed, which includes a commitment to disaggregate relevant indicators </w:t>
      </w:r>
      <w:r w:rsidR="00D37FAE" w:rsidRPr="00D0725A">
        <w:t>by disability</w:t>
      </w:r>
      <w:r w:rsidR="00685728">
        <w:rPr>
          <w:rStyle w:val="EndnoteReference"/>
        </w:rPr>
        <w:endnoteReference w:id="3"/>
      </w:r>
      <w:r w:rsidR="00B77BAD">
        <w:t xml:space="preserve"> (but does not include specific indicators relating to disability inclusion processes or outcomes).</w:t>
      </w:r>
    </w:p>
    <w:p w14:paraId="10834003" w14:textId="77B30CF0" w:rsidR="009A0A70" w:rsidRDefault="009A0A70" w:rsidP="00B5231A">
      <w:pPr>
        <w:pStyle w:val="Heading3"/>
        <w:numPr>
          <w:ilvl w:val="2"/>
          <w:numId w:val="15"/>
        </w:numPr>
      </w:pPr>
      <w:r>
        <w:t>Discussion</w:t>
      </w:r>
    </w:p>
    <w:p w14:paraId="7AC3B070" w14:textId="40D39837" w:rsidR="00EA2BB5" w:rsidRDefault="001651D2" w:rsidP="00481A50">
      <w:r>
        <w:t xml:space="preserve">Whilst </w:t>
      </w:r>
      <w:r w:rsidR="00003798">
        <w:t xml:space="preserve">this </w:t>
      </w:r>
      <w:r w:rsidR="00BA5330">
        <w:t xml:space="preserve">review </w:t>
      </w:r>
      <w:r w:rsidR="00003798">
        <w:t xml:space="preserve">found </w:t>
      </w:r>
      <w:r>
        <w:t xml:space="preserve">a lack of </w:t>
      </w:r>
      <w:r w:rsidR="006D4787">
        <w:t xml:space="preserve">definitions or indicator sets to </w:t>
      </w:r>
      <w:r w:rsidR="00AE28E7">
        <w:t xml:space="preserve">frame the concept of disability data in the eye health context, </w:t>
      </w:r>
      <w:r w:rsidR="00CA2BC4">
        <w:t>two</w:t>
      </w:r>
      <w:r w:rsidR="00420331">
        <w:t xml:space="preserve"> </w:t>
      </w:r>
      <w:r w:rsidR="002504E6">
        <w:t>frameworks from outside of the eye health sector</w:t>
      </w:r>
      <w:r w:rsidR="008A111D">
        <w:t xml:space="preserve"> </w:t>
      </w:r>
      <w:r w:rsidR="00CA2BC4">
        <w:t>were identified</w:t>
      </w:r>
      <w:r w:rsidR="002504E6">
        <w:t>.</w:t>
      </w:r>
      <w:r w:rsidR="00420331">
        <w:t xml:space="preserve"> One</w:t>
      </w:r>
      <w:r w:rsidR="00003798">
        <w:t xml:space="preserve"> framework is</w:t>
      </w:r>
      <w:r w:rsidR="00420331">
        <w:t xml:space="preserve"> </w:t>
      </w:r>
      <w:r w:rsidR="00CA2BC4">
        <w:t>provided</w:t>
      </w:r>
      <w:r w:rsidR="00420331">
        <w:t xml:space="preserve"> by IAG and the Nossal Institute</w:t>
      </w:r>
      <w:r w:rsidR="00497BC7">
        <w:t xml:space="preserve"> for the monitoring and evaluation of disability inclusion in general development and humanitarian programs (</w:t>
      </w:r>
      <w:proofErr w:type="gramStart"/>
      <w:r w:rsidR="00497BC7">
        <w:t>and also</w:t>
      </w:r>
      <w:proofErr w:type="gramEnd"/>
      <w:r w:rsidR="0038616D">
        <w:t xml:space="preserve"> informing DFAT’s appraisal of disability inclusion)</w:t>
      </w:r>
      <w:r w:rsidR="00497BC7">
        <w:t>.</w:t>
      </w:r>
      <w:r w:rsidR="007414B9">
        <w:t xml:space="preserve"> </w:t>
      </w:r>
      <w:r w:rsidR="008B1C1E">
        <w:t>T</w:t>
      </w:r>
      <w:r w:rsidR="00EC0C20">
        <w:t>his aims to measure:</w:t>
      </w:r>
    </w:p>
    <w:p w14:paraId="4C0B480E" w14:textId="6BA67966" w:rsidR="00DE23F9" w:rsidRDefault="00995548" w:rsidP="00EC0C20">
      <w:pPr>
        <w:pStyle w:val="ListParagraph"/>
        <w:numPr>
          <w:ilvl w:val="0"/>
          <w:numId w:val="13"/>
        </w:numPr>
      </w:pPr>
      <w:r>
        <w:t xml:space="preserve">The extent of </w:t>
      </w:r>
      <w:r w:rsidRPr="00DA3E34">
        <w:rPr>
          <w:b/>
          <w:bCs/>
        </w:rPr>
        <w:t>meaningful participation</w:t>
      </w:r>
      <w:r>
        <w:t xml:space="preserve"> of persons with disabilities</w:t>
      </w:r>
      <w:r w:rsidR="007612D9">
        <w:t xml:space="preserve"> in the design, management</w:t>
      </w:r>
      <w:r w:rsidR="00272AC4">
        <w:t xml:space="preserve"> and monitoring of the program/</w:t>
      </w:r>
      <w:proofErr w:type="gramStart"/>
      <w:r w:rsidR="00272AC4">
        <w:t>service</w:t>
      </w:r>
      <w:r w:rsidR="00DE23F9">
        <w:t>;</w:t>
      </w:r>
      <w:proofErr w:type="gramEnd"/>
    </w:p>
    <w:p w14:paraId="3DB16A75" w14:textId="7C1DD2C9" w:rsidR="00EC0C20" w:rsidRDefault="00DE23F9" w:rsidP="00EC0C20">
      <w:pPr>
        <w:pStyle w:val="ListParagraph"/>
        <w:numPr>
          <w:ilvl w:val="0"/>
          <w:numId w:val="13"/>
        </w:numPr>
      </w:pPr>
      <w:r>
        <w:t>Actions taken</w:t>
      </w:r>
      <w:r w:rsidR="009D3050">
        <w:t xml:space="preserve"> </w:t>
      </w:r>
      <w:r>
        <w:t xml:space="preserve">or processes </w:t>
      </w:r>
      <w:r w:rsidR="00C153E0">
        <w:t xml:space="preserve">underway to </w:t>
      </w:r>
      <w:r w:rsidR="00C153E0" w:rsidRPr="00DA3E34">
        <w:rPr>
          <w:b/>
          <w:bCs/>
        </w:rPr>
        <w:t xml:space="preserve">remove barriers </w:t>
      </w:r>
      <w:r w:rsidR="007612D9" w:rsidRPr="00DA3E34">
        <w:rPr>
          <w:b/>
          <w:bCs/>
        </w:rPr>
        <w:t>to inclusion</w:t>
      </w:r>
      <w:r w:rsidR="007612D9">
        <w:t xml:space="preserve"> and/or </w:t>
      </w:r>
      <w:r w:rsidR="007612D9" w:rsidRPr="00DA3E34">
        <w:rPr>
          <w:b/>
          <w:bCs/>
        </w:rPr>
        <w:t>provide any required supports</w:t>
      </w:r>
      <w:r w:rsidR="007612D9">
        <w:t xml:space="preserve"> for persons with disabilities</w:t>
      </w:r>
      <w:r w:rsidR="00272AC4">
        <w:t>;</w:t>
      </w:r>
      <w:r w:rsidR="00011001">
        <w:t xml:space="preserve"> and</w:t>
      </w:r>
    </w:p>
    <w:p w14:paraId="1F2C5E0F" w14:textId="0799E780" w:rsidR="00011001" w:rsidRDefault="00011001" w:rsidP="00EC0C20">
      <w:pPr>
        <w:pStyle w:val="ListParagraph"/>
        <w:numPr>
          <w:ilvl w:val="0"/>
          <w:numId w:val="13"/>
        </w:numPr>
      </w:pPr>
      <w:r>
        <w:t xml:space="preserve">The extent to which persons with disabilities </w:t>
      </w:r>
      <w:r w:rsidR="00697D42">
        <w:t xml:space="preserve">are </w:t>
      </w:r>
      <w:r w:rsidR="00697D42" w:rsidRPr="00DA3E34">
        <w:rPr>
          <w:b/>
          <w:bCs/>
        </w:rPr>
        <w:t xml:space="preserve">benefiting </w:t>
      </w:r>
      <w:r w:rsidR="00D35A1A" w:rsidRPr="00DA3E34">
        <w:rPr>
          <w:b/>
          <w:bCs/>
        </w:rPr>
        <w:t>from outcomes on an equal basis to others</w:t>
      </w:r>
      <w:r w:rsidR="00D35A1A">
        <w:t>.</w:t>
      </w:r>
      <w:r w:rsidR="003311DF">
        <w:rPr>
          <w:rStyle w:val="EndnoteReference"/>
        </w:rPr>
        <w:endnoteReference w:id="4"/>
      </w:r>
    </w:p>
    <w:p w14:paraId="571F8063" w14:textId="3ECC2219" w:rsidR="002504E6" w:rsidRDefault="00E83618" w:rsidP="00481A50">
      <w:r>
        <w:t>An</w:t>
      </w:r>
      <w:r w:rsidR="001B22F4">
        <w:t>other</w:t>
      </w:r>
      <w:r>
        <w:t xml:space="preserve"> framework</w:t>
      </w:r>
      <w:r w:rsidR="00994CDF">
        <w:t xml:space="preserve"> is </w:t>
      </w:r>
      <w:r w:rsidR="001B22F4">
        <w:t xml:space="preserve">provided </w:t>
      </w:r>
      <w:r w:rsidR="004964A9">
        <w:t xml:space="preserve">by WHO in relation to </w:t>
      </w:r>
      <w:r w:rsidR="00113401">
        <w:t>monitoring</w:t>
      </w:r>
      <w:r w:rsidR="004964A9">
        <w:t xml:space="preserve"> of disability inclusion in the general health system/sector. </w:t>
      </w:r>
      <w:r w:rsidR="002C2E09">
        <w:t>This aims to measure:</w:t>
      </w:r>
    </w:p>
    <w:p w14:paraId="07538851" w14:textId="1EDB313C" w:rsidR="002C2E09" w:rsidRDefault="002C2E09" w:rsidP="002C2E09">
      <w:pPr>
        <w:pStyle w:val="ListParagraph"/>
        <w:numPr>
          <w:ilvl w:val="0"/>
          <w:numId w:val="14"/>
        </w:numPr>
      </w:pPr>
      <w:r>
        <w:t xml:space="preserve">Health system </w:t>
      </w:r>
      <w:r w:rsidRPr="002B094C">
        <w:rPr>
          <w:b/>
          <w:bCs/>
        </w:rPr>
        <w:t xml:space="preserve">structures </w:t>
      </w:r>
      <w:r w:rsidRPr="00F04DBA">
        <w:rPr>
          <w:b/>
          <w:bCs/>
        </w:rPr>
        <w:t>and</w:t>
      </w:r>
      <w:r w:rsidRPr="002B094C">
        <w:rPr>
          <w:b/>
          <w:bCs/>
        </w:rPr>
        <w:t xml:space="preserve"> inputs</w:t>
      </w:r>
      <w:r>
        <w:t xml:space="preserve">, such as </w:t>
      </w:r>
      <w:r w:rsidR="002B094C">
        <w:t xml:space="preserve">disability inclusive </w:t>
      </w:r>
      <w:r w:rsidR="005A74D1">
        <w:t xml:space="preserve">policies, </w:t>
      </w:r>
      <w:r w:rsidR="002B094C">
        <w:t xml:space="preserve">accessible </w:t>
      </w:r>
      <w:r w:rsidR="005A74D1">
        <w:t xml:space="preserve">infrastructure, </w:t>
      </w:r>
      <w:r w:rsidR="002B094C">
        <w:t xml:space="preserve">and staff </w:t>
      </w:r>
      <w:proofErr w:type="gramStart"/>
      <w:r w:rsidR="002B094C">
        <w:t>training;</w:t>
      </w:r>
      <w:proofErr w:type="gramEnd"/>
    </w:p>
    <w:p w14:paraId="59FC9354" w14:textId="7270533A" w:rsidR="002B094C" w:rsidRDefault="00F04DBA" w:rsidP="002C2E09">
      <w:pPr>
        <w:pStyle w:val="ListParagraph"/>
        <w:numPr>
          <w:ilvl w:val="0"/>
          <w:numId w:val="14"/>
        </w:numPr>
      </w:pPr>
      <w:r>
        <w:t xml:space="preserve">Service delivery </w:t>
      </w:r>
      <w:r w:rsidRPr="00F04DBA">
        <w:rPr>
          <w:b/>
          <w:bCs/>
        </w:rPr>
        <w:t>processes</w:t>
      </w:r>
      <w:r>
        <w:t xml:space="preserve"> </w:t>
      </w:r>
      <w:r w:rsidRPr="00F04DBA">
        <w:rPr>
          <w:b/>
          <w:bCs/>
        </w:rPr>
        <w:t>and</w:t>
      </w:r>
      <w:r>
        <w:t xml:space="preserve"> </w:t>
      </w:r>
      <w:r w:rsidRPr="00F04DBA">
        <w:rPr>
          <w:b/>
          <w:bCs/>
        </w:rPr>
        <w:t>outputs</w:t>
      </w:r>
      <w:r>
        <w:t xml:space="preserve">, </w:t>
      </w:r>
      <w:r w:rsidR="008E7B8B">
        <w:t xml:space="preserve">such as the </w:t>
      </w:r>
      <w:r w:rsidR="00E125D1">
        <w:t xml:space="preserve">affordability and </w:t>
      </w:r>
      <w:r w:rsidR="008E7B8B">
        <w:t xml:space="preserve">responsiveness of services </w:t>
      </w:r>
      <w:r w:rsidR="00D171C4">
        <w:t xml:space="preserve">to persons with </w:t>
      </w:r>
      <w:proofErr w:type="gramStart"/>
      <w:r w:rsidR="00D171C4">
        <w:t>disabilities</w:t>
      </w:r>
      <w:r w:rsidR="00E125D1">
        <w:t>;</w:t>
      </w:r>
      <w:proofErr w:type="gramEnd"/>
    </w:p>
    <w:p w14:paraId="72150041" w14:textId="77777777" w:rsidR="00814915" w:rsidRDefault="00E125D1" w:rsidP="002C2E09">
      <w:pPr>
        <w:pStyle w:val="ListParagraph"/>
        <w:numPr>
          <w:ilvl w:val="0"/>
          <w:numId w:val="14"/>
        </w:numPr>
      </w:pPr>
      <w:r>
        <w:t xml:space="preserve">Health </w:t>
      </w:r>
      <w:r w:rsidRPr="00814915">
        <w:rPr>
          <w:b/>
          <w:bCs/>
        </w:rPr>
        <w:t>outcomes</w:t>
      </w:r>
      <w:r w:rsidR="00814915">
        <w:t>, such as the coverage of health interventions for persons with disabilities; and</w:t>
      </w:r>
    </w:p>
    <w:p w14:paraId="5A35D4C0" w14:textId="324C9729" w:rsidR="00E125D1" w:rsidRDefault="00814915" w:rsidP="002C2E09">
      <w:pPr>
        <w:pStyle w:val="ListParagraph"/>
        <w:numPr>
          <w:ilvl w:val="0"/>
          <w:numId w:val="14"/>
        </w:numPr>
      </w:pPr>
      <w:r>
        <w:t xml:space="preserve">Health </w:t>
      </w:r>
      <w:r w:rsidRPr="00E95123">
        <w:rPr>
          <w:b/>
          <w:bCs/>
        </w:rPr>
        <w:t>impact</w:t>
      </w:r>
      <w:r w:rsidR="00E95123">
        <w:t>, in terms of improved health outcomes and quality of life for persons with disabilities.</w:t>
      </w:r>
      <w:r w:rsidR="00723C25">
        <w:rPr>
          <w:rStyle w:val="EndnoteReference"/>
        </w:rPr>
        <w:endnoteReference w:id="5"/>
      </w:r>
    </w:p>
    <w:p w14:paraId="723BB8AB" w14:textId="01958668" w:rsidR="00390394" w:rsidRPr="002E405C" w:rsidRDefault="00DD3C68" w:rsidP="00874C7D">
      <w:r>
        <w:t>An adapted version of WHO’s framework</w:t>
      </w:r>
      <w:r w:rsidR="00941D2D">
        <w:t>,</w:t>
      </w:r>
      <w:r>
        <w:t xml:space="preserve"> </w:t>
      </w:r>
      <w:r w:rsidR="00D13158">
        <w:t xml:space="preserve">aligned to the context of the eye health sector – and perhaps drawing on </w:t>
      </w:r>
      <w:r w:rsidR="00E9485C">
        <w:t xml:space="preserve">frameworks/indicators from the development and humanitarian sector </w:t>
      </w:r>
      <w:r w:rsidR="00941D2D">
        <w:t>–</w:t>
      </w:r>
      <w:r w:rsidR="00E9485C">
        <w:t xml:space="preserve"> </w:t>
      </w:r>
      <w:r w:rsidR="00BE65FF">
        <w:t>may provide a</w:t>
      </w:r>
      <w:r w:rsidR="008026EF">
        <w:t xml:space="preserve"> sound basis for developing a framework for monitoring disability inclusive eye health.</w:t>
      </w:r>
    </w:p>
    <w:p w14:paraId="069B92A9" w14:textId="0ED71C6C" w:rsidR="00011C85" w:rsidRDefault="00011C85" w:rsidP="00226B27">
      <w:pPr>
        <w:pStyle w:val="Heading2"/>
        <w:numPr>
          <w:ilvl w:val="1"/>
          <w:numId w:val="15"/>
        </w:numPr>
      </w:pPr>
      <w:bookmarkStart w:id="7" w:name="_Toc135388367"/>
      <w:r>
        <w:lastRenderedPageBreak/>
        <w:t>Purposes and uses of disability data</w:t>
      </w:r>
      <w:bookmarkEnd w:id="7"/>
    </w:p>
    <w:p w14:paraId="426F12F7" w14:textId="45FB2F92" w:rsidR="007F1145" w:rsidRDefault="00B5231A" w:rsidP="00B5231A">
      <w:pPr>
        <w:pStyle w:val="Heading3"/>
        <w:numPr>
          <w:ilvl w:val="2"/>
          <w:numId w:val="15"/>
        </w:numPr>
      </w:pPr>
      <w:r>
        <w:t>Findings</w:t>
      </w:r>
    </w:p>
    <w:p w14:paraId="4C4719A8" w14:textId="0BD69717" w:rsidR="00481A50" w:rsidRDefault="008F2720" w:rsidP="00481A50">
      <w:r>
        <w:t>Findings from the literature review and key informant interviews suggest that d</w:t>
      </w:r>
      <w:r w:rsidR="00541E1F">
        <w:t>isability data is being collected and used in the eye health sector to:</w:t>
      </w:r>
      <w:r w:rsidR="00481A50">
        <w:t xml:space="preserve"> </w:t>
      </w:r>
    </w:p>
    <w:p w14:paraId="7441E8A5" w14:textId="5D52D6A7" w:rsidR="003F3BDA" w:rsidRDefault="00032E2D" w:rsidP="00032E2D">
      <w:pPr>
        <w:pStyle w:val="ListParagraph"/>
      </w:pPr>
      <w:r w:rsidRPr="007E667D">
        <w:rPr>
          <w:b/>
          <w:bCs/>
        </w:rPr>
        <w:t>Understand the eye health needs of persons with disabilities</w:t>
      </w:r>
      <w:r w:rsidR="00226B27">
        <w:t xml:space="preserve"> – for example, </w:t>
      </w:r>
      <w:r w:rsidR="00317EF4">
        <w:t xml:space="preserve">population </w:t>
      </w:r>
      <w:r w:rsidR="00281700">
        <w:t xml:space="preserve">surveys </w:t>
      </w:r>
      <w:r w:rsidR="00317EF4">
        <w:t xml:space="preserve">in several countries </w:t>
      </w:r>
      <w:r w:rsidR="00281700">
        <w:t xml:space="preserve">have found that </w:t>
      </w:r>
      <w:r w:rsidR="00DA5065">
        <w:t xml:space="preserve">persons with </w:t>
      </w:r>
      <w:r w:rsidR="00281700">
        <w:t xml:space="preserve">disabilities (other than visual disabilities) experience </w:t>
      </w:r>
      <w:r w:rsidR="00D34FEE">
        <w:t xml:space="preserve">significantly higher rates of vision impairment than other </w:t>
      </w:r>
      <w:r w:rsidR="008F0CD4">
        <w:t>persons.</w:t>
      </w:r>
      <w:r w:rsidR="00556347">
        <w:t xml:space="preserve"> </w:t>
      </w:r>
      <w:r w:rsidR="007F04E5">
        <w:t>These population groups can then be targeted for outreach or inclusion in eye health programs.</w:t>
      </w:r>
    </w:p>
    <w:p w14:paraId="7DD9E02F" w14:textId="5F3F67B8" w:rsidR="00032E2D" w:rsidRDefault="00A12277" w:rsidP="00032E2D">
      <w:pPr>
        <w:pStyle w:val="ListParagraph"/>
      </w:pPr>
      <w:r w:rsidRPr="007E667D">
        <w:rPr>
          <w:b/>
          <w:bCs/>
        </w:rPr>
        <w:t xml:space="preserve">Identify </w:t>
      </w:r>
      <w:r w:rsidR="008C7E22" w:rsidRPr="007E667D">
        <w:rPr>
          <w:b/>
          <w:bCs/>
        </w:rPr>
        <w:t xml:space="preserve">support requirements and </w:t>
      </w:r>
      <w:r w:rsidRPr="007E667D">
        <w:rPr>
          <w:b/>
          <w:bCs/>
        </w:rPr>
        <w:t>measures to remove barriers to accessing eye health</w:t>
      </w:r>
      <w:r w:rsidR="008F0CD4">
        <w:t xml:space="preserve"> </w:t>
      </w:r>
      <w:r w:rsidR="00317EF4">
        <w:t>–</w:t>
      </w:r>
      <w:r w:rsidR="008F0CD4">
        <w:t xml:space="preserve"> f</w:t>
      </w:r>
      <w:r w:rsidR="00317EF4">
        <w:t xml:space="preserve">or example, </w:t>
      </w:r>
      <w:r w:rsidR="00FB5E22">
        <w:t xml:space="preserve">understanding </w:t>
      </w:r>
      <w:r w:rsidR="006E437C">
        <w:t xml:space="preserve">the </w:t>
      </w:r>
      <w:r w:rsidR="00FB5E22">
        <w:t xml:space="preserve">reasons why persons with disabilities are not </w:t>
      </w:r>
      <w:r w:rsidR="006E437C">
        <w:t>accessing a particular eye health service</w:t>
      </w:r>
      <w:r w:rsidR="00D04898">
        <w:t xml:space="preserve">, so that </w:t>
      </w:r>
      <w:r w:rsidR="008E2347">
        <w:t>changes can be made.</w:t>
      </w:r>
      <w:r w:rsidR="00937010">
        <w:t xml:space="preserve"> This is a key </w:t>
      </w:r>
      <w:r w:rsidR="00E43104">
        <w:t xml:space="preserve">use of data </w:t>
      </w:r>
      <w:r w:rsidR="00937010">
        <w:t xml:space="preserve">for eye health </w:t>
      </w:r>
      <w:proofErr w:type="gramStart"/>
      <w:r w:rsidR="00937010">
        <w:t>organisations,</w:t>
      </w:r>
      <w:proofErr w:type="gramEnd"/>
      <w:r w:rsidR="00937010">
        <w:t xml:space="preserve"> </w:t>
      </w:r>
      <w:r w:rsidR="00E43104">
        <w:t>however no examples were found of systematic collection of data on barriers and support requirements.</w:t>
      </w:r>
      <w:r w:rsidR="00A333CF">
        <w:t xml:space="preserve"> Most often, </w:t>
      </w:r>
      <w:r w:rsidR="00E417C4">
        <w:t xml:space="preserve">inferences </w:t>
      </w:r>
      <w:r w:rsidR="00D920B2">
        <w:t xml:space="preserve">are being made from </w:t>
      </w:r>
      <w:r w:rsidR="00951E20">
        <w:t xml:space="preserve">analysing other data – for example, inferring that costs </w:t>
      </w:r>
      <w:r w:rsidR="00AA4C91">
        <w:t xml:space="preserve">and transport are barriers to inclusion from data showing that persons with disabilities are accessing eye health outreach camps but not </w:t>
      </w:r>
      <w:r w:rsidR="004261BE">
        <w:t xml:space="preserve">eye hospitals; or inferring that various types of accessibility measures are required </w:t>
      </w:r>
      <w:r w:rsidR="00336675">
        <w:t xml:space="preserve">from data showing that persons requiring eye health services experience </w:t>
      </w:r>
      <w:r w:rsidR="007E667D">
        <w:t xml:space="preserve">various types of functional </w:t>
      </w:r>
      <w:r w:rsidR="00336675">
        <w:t>difficulties</w:t>
      </w:r>
      <w:r w:rsidR="007E667D">
        <w:t>.</w:t>
      </w:r>
    </w:p>
    <w:p w14:paraId="373A9E0A" w14:textId="04B5BD17" w:rsidR="00A12277" w:rsidRDefault="00E45547" w:rsidP="00032E2D">
      <w:pPr>
        <w:pStyle w:val="ListParagraph"/>
      </w:pPr>
      <w:r w:rsidRPr="007E667D">
        <w:rPr>
          <w:b/>
          <w:bCs/>
        </w:rPr>
        <w:t>Evaluat</w:t>
      </w:r>
      <w:r w:rsidR="007E667D" w:rsidRPr="007E667D">
        <w:rPr>
          <w:b/>
          <w:bCs/>
        </w:rPr>
        <w:t>e</w:t>
      </w:r>
      <w:r w:rsidRPr="007E667D">
        <w:rPr>
          <w:b/>
          <w:bCs/>
        </w:rPr>
        <w:t xml:space="preserve"> the extent and equity of access to services</w:t>
      </w:r>
      <w:r w:rsidR="008E2347">
        <w:t xml:space="preserve"> – for example, </w:t>
      </w:r>
      <w:r w:rsidR="009E53A9">
        <w:t>measuring the extent to which persons with disabilities (</w:t>
      </w:r>
      <w:r w:rsidR="007A0137">
        <w:t>in addition to vision impairment</w:t>
      </w:r>
      <w:r w:rsidR="009E53A9">
        <w:t xml:space="preserve">) </w:t>
      </w:r>
      <w:r w:rsidR="008B54EF">
        <w:t xml:space="preserve">within a health service catchment area </w:t>
      </w:r>
      <w:r w:rsidR="009E53A9">
        <w:t xml:space="preserve">are </w:t>
      </w:r>
      <w:r w:rsidR="008B54EF">
        <w:t xml:space="preserve">accessing </w:t>
      </w:r>
      <w:r w:rsidR="00CB66EB">
        <w:t>the eye hea</w:t>
      </w:r>
      <w:r w:rsidR="00CE335A">
        <w:t>l</w:t>
      </w:r>
      <w:r w:rsidR="00CB66EB">
        <w:t xml:space="preserve">th services that they require, </w:t>
      </w:r>
      <w:r w:rsidR="00CE335A">
        <w:t>and how their access compares to that of other persons.</w:t>
      </w:r>
      <w:r w:rsidR="00E819A2">
        <w:t xml:space="preserve"> Eye health organisations are increasingly able to </w:t>
      </w:r>
      <w:r w:rsidR="00192665">
        <w:t>measure the extent of access</w:t>
      </w:r>
      <w:r w:rsidR="00B21A6B">
        <w:t xml:space="preserve"> for persons with disabilities</w:t>
      </w:r>
      <w:r w:rsidR="00192665">
        <w:t xml:space="preserve">; however </w:t>
      </w:r>
      <w:r w:rsidR="00175C39">
        <w:t xml:space="preserve">very few examples were found where </w:t>
      </w:r>
      <w:r w:rsidR="00192665">
        <w:t>data is available to measure equity</w:t>
      </w:r>
      <w:r w:rsidR="00B21A6B">
        <w:t xml:space="preserve"> of access</w:t>
      </w:r>
      <w:r w:rsidR="00192665">
        <w:t>.</w:t>
      </w:r>
      <w:r w:rsidR="00072242">
        <w:t xml:space="preserve"> This is an important distinction for all disability inclusive programming</w:t>
      </w:r>
      <w:r w:rsidR="00C27916">
        <w:t xml:space="preserve">: assessing equity requires understanding not just who is accessing a service, but also who is </w:t>
      </w:r>
      <w:r w:rsidR="009B61AE">
        <w:t>potentially in need of that service (and</w:t>
      </w:r>
      <w:r w:rsidR="0002121B">
        <w:t>, therefore, who is missing out)</w:t>
      </w:r>
      <w:r w:rsidR="00C27916">
        <w:t>.</w:t>
      </w:r>
      <w:r w:rsidR="009836CB">
        <w:t xml:space="preserve"> </w:t>
      </w:r>
    </w:p>
    <w:p w14:paraId="127DE98A" w14:textId="44FC280E" w:rsidR="00D64204" w:rsidRDefault="00D64204" w:rsidP="00032E2D">
      <w:pPr>
        <w:pStyle w:val="ListParagraph"/>
      </w:pPr>
      <w:r w:rsidRPr="007E667D">
        <w:rPr>
          <w:b/>
          <w:bCs/>
        </w:rPr>
        <w:t>Evaluat</w:t>
      </w:r>
      <w:r w:rsidR="007E667D" w:rsidRPr="007E667D">
        <w:rPr>
          <w:b/>
          <w:bCs/>
        </w:rPr>
        <w:t>e</w:t>
      </w:r>
      <w:r w:rsidRPr="007E667D">
        <w:rPr>
          <w:b/>
          <w:bCs/>
        </w:rPr>
        <w:t xml:space="preserve"> equity of eye health outcomes/impact</w:t>
      </w:r>
      <w:r w:rsidR="00E70DA8">
        <w:t xml:space="preserve"> – for example, measuring </w:t>
      </w:r>
      <w:r w:rsidR="008417DC">
        <w:t>the extent to which persons with disabilities (</w:t>
      </w:r>
      <w:r w:rsidR="007A0137">
        <w:t>in addition to vision impairment</w:t>
      </w:r>
      <w:r w:rsidR="008417DC">
        <w:t xml:space="preserve">) are </w:t>
      </w:r>
      <w:r w:rsidR="00016189">
        <w:t xml:space="preserve">experiencing improved eye health outcomes or reduced incidence of </w:t>
      </w:r>
      <w:r w:rsidR="00851A25">
        <w:t>vision impairment compared</w:t>
      </w:r>
      <w:r w:rsidR="00F430D3">
        <w:t xml:space="preserve"> to other persons. </w:t>
      </w:r>
      <w:r w:rsidR="00CD2C89">
        <w:t>Although this is a clear objective of disability-inclusive eye health programs, e</w:t>
      </w:r>
      <w:r w:rsidR="00FE6529">
        <w:t xml:space="preserve">xamples of this use of disability data were </w:t>
      </w:r>
      <w:r w:rsidR="00A050D2">
        <w:t xml:space="preserve">not found </w:t>
      </w:r>
      <w:r w:rsidR="009E35D8">
        <w:t xml:space="preserve">in this evidence review. Eye health services or programs </w:t>
      </w:r>
      <w:r w:rsidR="009222CC">
        <w:t xml:space="preserve">are </w:t>
      </w:r>
      <w:r w:rsidR="009E35D8">
        <w:t xml:space="preserve">rarely </w:t>
      </w:r>
      <w:r w:rsidR="009222CC">
        <w:t xml:space="preserve">able to </w:t>
      </w:r>
      <w:r w:rsidR="009E35D8">
        <w:t xml:space="preserve">track the impact of </w:t>
      </w:r>
      <w:r w:rsidR="00922CD6">
        <w:t>interventions on a person’s quality of life or overall health status</w:t>
      </w:r>
      <w:r w:rsidR="00AC0259">
        <w:t>,</w:t>
      </w:r>
      <w:r w:rsidR="003F22B0">
        <w:t xml:space="preserve"> and </w:t>
      </w:r>
      <w:r w:rsidR="009F745A">
        <w:t>longitudinal population</w:t>
      </w:r>
      <w:r w:rsidR="003F22B0">
        <w:t>-level</w:t>
      </w:r>
      <w:r w:rsidR="009F745A">
        <w:t xml:space="preserve"> </w:t>
      </w:r>
      <w:r w:rsidR="003F22B0">
        <w:t>data (which could also provide this information) is rarely available.</w:t>
      </w:r>
    </w:p>
    <w:p w14:paraId="593959A4" w14:textId="4DE90F37" w:rsidR="00E45547" w:rsidRDefault="00313BF6" w:rsidP="00032E2D">
      <w:pPr>
        <w:pStyle w:val="ListParagraph"/>
      </w:pPr>
      <w:r w:rsidRPr="00C700E2">
        <w:rPr>
          <w:b/>
          <w:bCs/>
        </w:rPr>
        <w:t>Support advocacy and awareness raising</w:t>
      </w:r>
      <w:r w:rsidR="003F22B0">
        <w:t xml:space="preserve"> </w:t>
      </w:r>
      <w:r w:rsidR="00476A63">
        <w:t>–</w:t>
      </w:r>
      <w:r w:rsidR="003F22B0">
        <w:t xml:space="preserve"> </w:t>
      </w:r>
      <w:r w:rsidR="006F51BD">
        <w:t xml:space="preserve">eye health NGOs are using </w:t>
      </w:r>
      <w:r w:rsidR="00853F04">
        <w:t xml:space="preserve">disability data to advocate to eye health service and system stakeholders for </w:t>
      </w:r>
      <w:r w:rsidR="007313EC">
        <w:t xml:space="preserve">policies and measures required to ensure inclusion of persons with disabilities. </w:t>
      </w:r>
      <w:r w:rsidR="009B5C16">
        <w:t xml:space="preserve">Advocacy </w:t>
      </w:r>
      <w:r w:rsidR="005050E2">
        <w:t xml:space="preserve">objectives </w:t>
      </w:r>
      <w:r w:rsidR="009B5C16">
        <w:t xml:space="preserve">mentioned in the literature and by key informants </w:t>
      </w:r>
      <w:r w:rsidR="005050E2">
        <w:t xml:space="preserve">included using data to demonstrate: </w:t>
      </w:r>
      <w:r w:rsidR="0091283E">
        <w:t>the prevalence of persons with disabilities among the health catchment population</w:t>
      </w:r>
      <w:r w:rsidR="005050E2">
        <w:t>;</w:t>
      </w:r>
      <w:r w:rsidR="0091283E">
        <w:t xml:space="preserve"> the links between disability and eye health problems</w:t>
      </w:r>
      <w:r w:rsidR="005050E2">
        <w:t>;</w:t>
      </w:r>
      <w:r w:rsidR="0091283E">
        <w:t xml:space="preserve"> and/or the </w:t>
      </w:r>
      <w:r w:rsidR="008513A6">
        <w:t xml:space="preserve">prevalence of disabilities (other than visual) among eye health facility users. </w:t>
      </w:r>
      <w:r w:rsidR="00C700E2">
        <w:t xml:space="preserve">In addition, </w:t>
      </w:r>
      <w:r w:rsidR="00C27402">
        <w:t>several eye health NGOs report</w:t>
      </w:r>
      <w:r w:rsidR="00E67D81">
        <w:t>ed</w:t>
      </w:r>
      <w:r w:rsidR="00C27402">
        <w:t xml:space="preserve"> that the process of collecting disability data </w:t>
      </w:r>
      <w:r w:rsidR="009B2354">
        <w:t xml:space="preserve">had </w:t>
      </w:r>
      <w:r w:rsidR="00A5644B">
        <w:t xml:space="preserve">a key </w:t>
      </w:r>
      <w:r w:rsidR="009B2354">
        <w:t>(</w:t>
      </w:r>
      <w:r w:rsidR="00A5644B">
        <w:t xml:space="preserve">but usually </w:t>
      </w:r>
      <w:r w:rsidR="009B2354">
        <w:t xml:space="preserve">unintended) outcome of raising awareness of disability </w:t>
      </w:r>
      <w:r w:rsidR="00A5644B">
        <w:t xml:space="preserve">among eye health personnel and management </w:t>
      </w:r>
      <w:r w:rsidR="009B2354">
        <w:t xml:space="preserve">and </w:t>
      </w:r>
      <w:r w:rsidR="00A5644B">
        <w:t>generating motivation to take actions for inclusion.</w:t>
      </w:r>
    </w:p>
    <w:p w14:paraId="5D8C76E4" w14:textId="207D3A29" w:rsidR="00D74556" w:rsidRDefault="0094220F" w:rsidP="00032E2D">
      <w:pPr>
        <w:pStyle w:val="ListParagraph"/>
      </w:pPr>
      <w:r>
        <w:rPr>
          <w:b/>
          <w:bCs/>
        </w:rPr>
        <w:lastRenderedPageBreak/>
        <w:t xml:space="preserve">Report to aid donors </w:t>
      </w:r>
      <w:r w:rsidR="000E0533">
        <w:t xml:space="preserve">– </w:t>
      </w:r>
      <w:r w:rsidR="00BE3C10">
        <w:t xml:space="preserve">aid donors are increasingly requesting </w:t>
      </w:r>
      <w:r w:rsidR="0033037F">
        <w:t>funding recipients to report</w:t>
      </w:r>
      <w:r w:rsidR="00BE3C10">
        <w:t xml:space="preserve"> disability </w:t>
      </w:r>
      <w:proofErr w:type="gramStart"/>
      <w:r w:rsidR="00BE3C10">
        <w:t xml:space="preserve">data </w:t>
      </w:r>
      <w:r w:rsidR="007C7D35">
        <w:t>.</w:t>
      </w:r>
      <w:proofErr w:type="gramEnd"/>
      <w:r w:rsidR="007C7D35">
        <w:t xml:space="preserve"> Only one </w:t>
      </w:r>
      <w:r w:rsidR="0033037F">
        <w:t xml:space="preserve">key informant from an </w:t>
      </w:r>
      <w:r w:rsidR="007C7D35">
        <w:t xml:space="preserve">eye health NGO reported that this was a driver of disability data efforts, although noting that it was a secondary </w:t>
      </w:r>
      <w:r w:rsidR="00C152A8">
        <w:t>driver</w:t>
      </w:r>
      <w:r w:rsidR="007C7D35">
        <w:t xml:space="preserve">. </w:t>
      </w:r>
      <w:r w:rsidR="005C0869">
        <w:t>(</w:t>
      </w:r>
      <w:r w:rsidR="007C7D35">
        <w:t>Anecdotally, IAG’s experience suggests that donor reporting is a common driver of disability data efforts</w:t>
      </w:r>
      <w:r w:rsidR="00C152A8">
        <w:t xml:space="preserve"> </w:t>
      </w:r>
      <w:r w:rsidR="007C7D35">
        <w:t xml:space="preserve">in the </w:t>
      </w:r>
      <w:r w:rsidR="005C0869">
        <w:t xml:space="preserve">wider </w:t>
      </w:r>
      <w:r w:rsidR="007C7D35">
        <w:t>development and humanitarian sectors.</w:t>
      </w:r>
      <w:r w:rsidR="005C0869">
        <w:t>)</w:t>
      </w:r>
    </w:p>
    <w:p w14:paraId="2CF1BFB9" w14:textId="5C0A6EB4" w:rsidR="004D1B6F" w:rsidRDefault="0094220F" w:rsidP="00032E2D">
      <w:pPr>
        <w:pStyle w:val="ListParagraph"/>
      </w:pPr>
      <w:r>
        <w:rPr>
          <w:b/>
          <w:bCs/>
        </w:rPr>
        <w:t xml:space="preserve">Monitor </w:t>
      </w:r>
      <w:r w:rsidR="00EE4B01" w:rsidRPr="00863C4D">
        <w:rPr>
          <w:b/>
          <w:bCs/>
        </w:rPr>
        <w:t xml:space="preserve">organisational </w:t>
      </w:r>
      <w:r>
        <w:rPr>
          <w:b/>
          <w:bCs/>
        </w:rPr>
        <w:t xml:space="preserve">program </w:t>
      </w:r>
      <w:r w:rsidR="00EE4B01" w:rsidRPr="00863C4D">
        <w:rPr>
          <w:b/>
          <w:bCs/>
        </w:rPr>
        <w:t>impact</w:t>
      </w:r>
      <w:r>
        <w:rPr>
          <w:b/>
          <w:bCs/>
        </w:rPr>
        <w:t xml:space="preserve"> </w:t>
      </w:r>
      <w:r w:rsidR="00667CB7">
        <w:t xml:space="preserve">– </w:t>
      </w:r>
      <w:r w:rsidR="00216329">
        <w:t xml:space="preserve">some key informants from eye health NGOs reported having </w:t>
      </w:r>
      <w:r w:rsidR="00667CB7">
        <w:t xml:space="preserve">organisation-wide MEL frameworks and systems, </w:t>
      </w:r>
      <w:r w:rsidR="00863C4D">
        <w:t xml:space="preserve">for which disability data is required from their eye health programs. </w:t>
      </w:r>
      <w:r w:rsidR="00216329">
        <w:t>Others reported that they</w:t>
      </w:r>
      <w:r w:rsidR="00654133">
        <w:t xml:space="preserve"> </w:t>
      </w:r>
      <w:r w:rsidR="002323C2">
        <w:t xml:space="preserve">did not yet have the capacity </w:t>
      </w:r>
      <w:r w:rsidR="002E59D3">
        <w:t xml:space="preserve">and/or intention to </w:t>
      </w:r>
      <w:r w:rsidR="00AE4814">
        <w:t xml:space="preserve">routinely </w:t>
      </w:r>
      <w:r w:rsidR="00637948">
        <w:t xml:space="preserve">collect disability </w:t>
      </w:r>
      <w:r w:rsidR="00573D37">
        <w:t xml:space="preserve">data in their </w:t>
      </w:r>
      <w:r w:rsidR="00AE4814">
        <w:t xml:space="preserve">eye health programming, or </w:t>
      </w:r>
      <w:r w:rsidR="00E134B3">
        <w:t xml:space="preserve">that decisions to collect </w:t>
      </w:r>
      <w:r w:rsidR="00C31F78">
        <w:t>disability data</w:t>
      </w:r>
      <w:r w:rsidR="009D0C9A">
        <w:t xml:space="preserve"> would </w:t>
      </w:r>
      <w:r w:rsidR="00E134B3">
        <w:t xml:space="preserve">be based on factors external to their organisation </w:t>
      </w:r>
      <w:r w:rsidR="000E367F">
        <w:t xml:space="preserve">(for example, an opportunity to advocate for disability-inclusive eye health system strengthening, or </w:t>
      </w:r>
      <w:r w:rsidR="00AA75F4">
        <w:t>demand from a</w:t>
      </w:r>
      <w:r w:rsidR="002E59D3">
        <w:t xml:space="preserve"> collaborating</w:t>
      </w:r>
      <w:r w:rsidR="00AA75F4">
        <w:t xml:space="preserve"> eye health </w:t>
      </w:r>
      <w:r w:rsidR="002B3461">
        <w:t>service provider to strengthen disability data approaches</w:t>
      </w:r>
      <w:r w:rsidR="002E59D3">
        <w:t>)</w:t>
      </w:r>
      <w:r w:rsidR="00C31F78">
        <w:t>.</w:t>
      </w:r>
    </w:p>
    <w:p w14:paraId="1075749F" w14:textId="798EA501" w:rsidR="00E417C4" w:rsidRPr="00C31F78" w:rsidRDefault="0094220F" w:rsidP="00032E2D">
      <w:pPr>
        <w:pStyle w:val="ListParagraph"/>
        <w:rPr>
          <w:b/>
          <w:bCs/>
        </w:rPr>
      </w:pPr>
      <w:r>
        <w:rPr>
          <w:b/>
          <w:bCs/>
        </w:rPr>
        <w:t xml:space="preserve">Provide </w:t>
      </w:r>
      <w:r w:rsidR="00F529C6">
        <w:rPr>
          <w:b/>
          <w:bCs/>
        </w:rPr>
        <w:t xml:space="preserve">information about </w:t>
      </w:r>
      <w:r>
        <w:rPr>
          <w:b/>
          <w:bCs/>
        </w:rPr>
        <w:t xml:space="preserve">other </w:t>
      </w:r>
      <w:r w:rsidR="00593E76">
        <w:rPr>
          <w:b/>
          <w:bCs/>
        </w:rPr>
        <w:t xml:space="preserve">disability services </w:t>
      </w:r>
      <w:r w:rsidR="00593E76">
        <w:t xml:space="preserve">– </w:t>
      </w:r>
      <w:r w:rsidR="00237A17">
        <w:t xml:space="preserve">although a </w:t>
      </w:r>
      <w:r w:rsidR="000316BB">
        <w:t xml:space="preserve">formalised health referral system would typically be based on clinical screening, </w:t>
      </w:r>
      <w:r w:rsidR="005F438C">
        <w:t xml:space="preserve">there is evidence of </w:t>
      </w:r>
      <w:r w:rsidR="000316BB">
        <w:t xml:space="preserve">eye health NGOs using facility-based disability data to provide </w:t>
      </w:r>
      <w:r w:rsidR="00C47514">
        <w:t xml:space="preserve">patients with </w:t>
      </w:r>
      <w:r w:rsidR="007406DC">
        <w:t xml:space="preserve">information about other disability </w:t>
      </w:r>
      <w:r w:rsidR="00CF0E1B">
        <w:t xml:space="preserve">or health </w:t>
      </w:r>
      <w:r w:rsidR="007406DC">
        <w:t xml:space="preserve">services </w:t>
      </w:r>
      <w:r w:rsidR="00C47514">
        <w:t xml:space="preserve">that </w:t>
      </w:r>
      <w:r w:rsidR="00CF0E1B">
        <w:t xml:space="preserve">are </w:t>
      </w:r>
      <w:r w:rsidR="00C47514">
        <w:t>potentially relevant and/</w:t>
      </w:r>
      <w:r w:rsidR="007406DC">
        <w:t xml:space="preserve">or </w:t>
      </w:r>
      <w:r w:rsidR="00C47514">
        <w:t xml:space="preserve">local OPDs </w:t>
      </w:r>
      <w:r w:rsidR="00A9727F">
        <w:t>or other membership groups providing support to persons with disabilities.</w:t>
      </w:r>
      <w:r w:rsidR="001843A6">
        <w:t xml:space="preserve"> (See Section 3.8 below for more on referrals.)</w:t>
      </w:r>
    </w:p>
    <w:p w14:paraId="62DDD543" w14:textId="4ED0AA09" w:rsidR="00B5231A" w:rsidRDefault="00041DFF" w:rsidP="0075747A">
      <w:r>
        <w:t>Among the evidence reviewed</w:t>
      </w:r>
      <w:r w:rsidR="009E7F57">
        <w:t xml:space="preserve">, </w:t>
      </w:r>
      <w:r w:rsidR="003B4F46">
        <w:t xml:space="preserve">most data </w:t>
      </w:r>
      <w:proofErr w:type="gramStart"/>
      <w:r w:rsidR="003B4F46">
        <w:t>was</w:t>
      </w:r>
      <w:proofErr w:type="gramEnd"/>
      <w:r w:rsidR="003B4F46">
        <w:t xml:space="preserve"> collected </w:t>
      </w:r>
      <w:r w:rsidR="00B44660">
        <w:t>to either</w:t>
      </w:r>
      <w:r w:rsidR="003B4F46">
        <w:t xml:space="preserve"> understand the eye health needs of persons with disabilities (in the case of population-based surveys) </w:t>
      </w:r>
      <w:r w:rsidR="00B716EC">
        <w:t xml:space="preserve">or </w:t>
      </w:r>
      <w:r w:rsidR="00B44660">
        <w:t xml:space="preserve">evaluate </w:t>
      </w:r>
      <w:r w:rsidR="00B716EC">
        <w:t>the extent of access to eye health services for persons with disabilities (in the case of facility-based data collection)</w:t>
      </w:r>
      <w:r w:rsidR="00760BCD">
        <w:t>.</w:t>
      </w:r>
    </w:p>
    <w:p w14:paraId="099609C0" w14:textId="48CEADEB" w:rsidR="00B5231A" w:rsidRDefault="00B5231A" w:rsidP="00B5231A">
      <w:pPr>
        <w:pStyle w:val="Heading3"/>
        <w:numPr>
          <w:ilvl w:val="2"/>
          <w:numId w:val="15"/>
        </w:numPr>
      </w:pPr>
      <w:r>
        <w:t>Discussion</w:t>
      </w:r>
    </w:p>
    <w:p w14:paraId="003C77A2" w14:textId="1E143DDD" w:rsidR="000E5AA9" w:rsidRDefault="00341AA3" w:rsidP="0075747A">
      <w:r>
        <w:t xml:space="preserve">Some </w:t>
      </w:r>
      <w:r w:rsidR="0074295A">
        <w:t>key gap</w:t>
      </w:r>
      <w:r>
        <w:t>s in the design of disability</w:t>
      </w:r>
      <w:r w:rsidR="000E5AA9">
        <w:t xml:space="preserve"> data approaches are:</w:t>
      </w:r>
    </w:p>
    <w:p w14:paraId="26795CFF" w14:textId="4DFAE96C" w:rsidR="0075747A" w:rsidRPr="00B74CD5" w:rsidRDefault="00585B35" w:rsidP="000E5AA9">
      <w:pPr>
        <w:pStyle w:val="ListParagraph"/>
        <w:rPr>
          <w:b/>
          <w:bCs/>
        </w:rPr>
      </w:pPr>
      <w:r>
        <w:t>Literature and key informant interviews indicate that f</w:t>
      </w:r>
      <w:r w:rsidR="000E5AA9">
        <w:t xml:space="preserve">ew eye health programs have </w:t>
      </w:r>
      <w:r w:rsidR="0074295A">
        <w:t xml:space="preserve">disability data </w:t>
      </w:r>
      <w:r w:rsidR="00150D50">
        <w:t xml:space="preserve">approaches </w:t>
      </w:r>
      <w:r w:rsidR="000E5AA9">
        <w:t xml:space="preserve">that </w:t>
      </w:r>
      <w:proofErr w:type="gramStart"/>
      <w:r w:rsidR="000E5AA9">
        <w:t xml:space="preserve">are able </w:t>
      </w:r>
      <w:r w:rsidR="002F77B8">
        <w:t>to</w:t>
      </w:r>
      <w:proofErr w:type="gramEnd"/>
      <w:r w:rsidR="002F77B8">
        <w:t xml:space="preserve"> </w:t>
      </w:r>
      <w:r w:rsidR="0070146E" w:rsidRPr="00CD1A12">
        <w:rPr>
          <w:b/>
          <w:bCs/>
        </w:rPr>
        <w:t>evaluat</w:t>
      </w:r>
      <w:r w:rsidR="002F77B8" w:rsidRPr="00CD1A12">
        <w:rPr>
          <w:b/>
          <w:bCs/>
        </w:rPr>
        <w:t xml:space="preserve">e </w:t>
      </w:r>
      <w:r w:rsidR="0070146E" w:rsidRPr="00CD1A12">
        <w:rPr>
          <w:b/>
          <w:bCs/>
        </w:rPr>
        <w:t>equity of access</w:t>
      </w:r>
      <w:r w:rsidR="000E5AA9" w:rsidRPr="00CD1A12">
        <w:rPr>
          <w:b/>
          <w:bCs/>
        </w:rPr>
        <w:t xml:space="preserve"> </w:t>
      </w:r>
      <w:r w:rsidR="00D20798" w:rsidRPr="00CD1A12">
        <w:rPr>
          <w:b/>
          <w:bCs/>
        </w:rPr>
        <w:t xml:space="preserve">and outcomes </w:t>
      </w:r>
      <w:r w:rsidR="000E5AA9" w:rsidRPr="00CD1A12">
        <w:rPr>
          <w:b/>
          <w:bCs/>
        </w:rPr>
        <w:t>for persons with disabilities</w:t>
      </w:r>
      <w:r w:rsidR="000E5AA9">
        <w:t xml:space="preserve">. </w:t>
      </w:r>
      <w:r w:rsidR="00D20798">
        <w:t xml:space="preserve">Equity of access </w:t>
      </w:r>
      <w:r w:rsidR="00F81086">
        <w:t xml:space="preserve">is a key </w:t>
      </w:r>
      <w:r w:rsidR="00545204">
        <w:t xml:space="preserve">indicator of disability inclusion, </w:t>
      </w:r>
      <w:r w:rsidR="000E5AA9">
        <w:t xml:space="preserve">but </w:t>
      </w:r>
      <w:r w:rsidR="00027A79">
        <w:t xml:space="preserve">measuring </w:t>
      </w:r>
      <w:r w:rsidR="00545204">
        <w:t xml:space="preserve">it </w:t>
      </w:r>
      <w:r w:rsidR="002F77B8">
        <w:t xml:space="preserve">requires </w:t>
      </w:r>
      <w:r w:rsidR="0049428C">
        <w:t xml:space="preserve">comparing rates of access to eye health </w:t>
      </w:r>
      <w:r w:rsidR="00027A79">
        <w:t xml:space="preserve">to </w:t>
      </w:r>
      <w:r w:rsidR="00B658D0">
        <w:t xml:space="preserve">the overall population with potential eye health </w:t>
      </w:r>
      <w:r w:rsidR="00523EE5">
        <w:t xml:space="preserve">problems. </w:t>
      </w:r>
      <w:r w:rsidR="00857543">
        <w:t xml:space="preserve">There is now a small body of literature demonstrating that equity can be effectively measured when </w:t>
      </w:r>
      <w:r w:rsidR="009B0FAE">
        <w:t xml:space="preserve">both facility-level and population-level eye health data are collected using comparable approaches to </w:t>
      </w:r>
      <w:r w:rsidR="00150D50">
        <w:t xml:space="preserve">disability disaggregation (see below). </w:t>
      </w:r>
      <w:r w:rsidR="004C0E02">
        <w:t xml:space="preserve">There is also the potential that repeat population surveys (such as the RAAB – see below) can be used </w:t>
      </w:r>
      <w:r w:rsidR="00D20798">
        <w:t xml:space="preserve">in this regard </w:t>
      </w:r>
      <w:r w:rsidR="004C0E02">
        <w:t xml:space="preserve">to </w:t>
      </w:r>
      <w:r w:rsidR="00B74CD5">
        <w:t xml:space="preserve">assess </w:t>
      </w:r>
      <w:r w:rsidR="00D20798">
        <w:t xml:space="preserve">the equity of </w:t>
      </w:r>
      <w:r w:rsidR="00B74CD5">
        <w:t>health outcomes over time.</w:t>
      </w:r>
    </w:p>
    <w:p w14:paraId="149308C1" w14:textId="63A33418" w:rsidR="00B74CD5" w:rsidRDefault="00C917E3" w:rsidP="00C01053">
      <w:pPr>
        <w:pStyle w:val="ListParagraph"/>
      </w:pPr>
      <w:r>
        <w:t xml:space="preserve">Examples of </w:t>
      </w:r>
      <w:r w:rsidR="00C01053">
        <w:t xml:space="preserve">data </w:t>
      </w:r>
      <w:r w:rsidR="00834954">
        <w:t xml:space="preserve">relating </w:t>
      </w:r>
      <w:r w:rsidR="00C01053">
        <w:t xml:space="preserve">to </w:t>
      </w:r>
      <w:r w:rsidR="002F33B1" w:rsidRPr="00CD1A12">
        <w:rPr>
          <w:b/>
          <w:bCs/>
        </w:rPr>
        <w:t>support requirements and measures to remove barriers to accessing eye health</w:t>
      </w:r>
      <w:r w:rsidR="00C01053" w:rsidRPr="00CD1A12">
        <w:rPr>
          <w:b/>
          <w:bCs/>
        </w:rPr>
        <w:t xml:space="preserve"> for persons with </w:t>
      </w:r>
      <w:r w:rsidR="00AE6F23" w:rsidRPr="00CD1A12">
        <w:rPr>
          <w:b/>
          <w:bCs/>
        </w:rPr>
        <w:t>disabilities</w:t>
      </w:r>
      <w:r w:rsidR="00C070E7">
        <w:t xml:space="preserve"> </w:t>
      </w:r>
      <w:r>
        <w:t>were not found</w:t>
      </w:r>
      <w:r w:rsidR="00C01053">
        <w:t>.</w:t>
      </w:r>
      <w:r w:rsidR="00AE6F23">
        <w:t xml:space="preserve"> Eye health </w:t>
      </w:r>
      <w:r w:rsidR="00834954">
        <w:t xml:space="preserve">organisations </w:t>
      </w:r>
      <w:r w:rsidR="008D70AA">
        <w:t xml:space="preserve">do </w:t>
      </w:r>
      <w:r w:rsidR="002011C1">
        <w:t xml:space="preserve">report providing </w:t>
      </w:r>
      <w:r w:rsidR="00834954">
        <w:t xml:space="preserve">such </w:t>
      </w:r>
      <w:r w:rsidR="002011C1">
        <w:t xml:space="preserve">supports </w:t>
      </w:r>
      <w:r w:rsidR="00834954">
        <w:t>(</w:t>
      </w:r>
      <w:r w:rsidR="002011C1">
        <w:t>such as reasonable accommodations</w:t>
      </w:r>
      <w:r w:rsidR="00834954">
        <w:t>)</w:t>
      </w:r>
      <w:r w:rsidR="002011C1">
        <w:t xml:space="preserve"> </w:t>
      </w:r>
      <w:r w:rsidR="00834954">
        <w:t>and implementing measures to remove barriers (such as accessibility measures)</w:t>
      </w:r>
      <w:r w:rsidR="008D0E2A">
        <w:t xml:space="preserve">. It is possible </w:t>
      </w:r>
      <w:r w:rsidR="00F1032D">
        <w:t xml:space="preserve">that </w:t>
      </w:r>
      <w:r w:rsidR="00D90436">
        <w:t xml:space="preserve">those measures were designed without using specific data </w:t>
      </w:r>
      <w:r w:rsidR="00F1032D">
        <w:t xml:space="preserve">on </w:t>
      </w:r>
      <w:r w:rsidR="00D90436">
        <w:t xml:space="preserve">support requirements or barriers </w:t>
      </w:r>
      <w:r w:rsidR="00DC5900">
        <w:t xml:space="preserve">– for example, their design could be based on </w:t>
      </w:r>
      <w:r w:rsidR="000A0947">
        <w:t xml:space="preserve">measures that have proven effective in other </w:t>
      </w:r>
      <w:r w:rsidR="00DC5900">
        <w:t xml:space="preserve">comparable </w:t>
      </w:r>
      <w:r w:rsidR="000A0947">
        <w:t>contexts.</w:t>
      </w:r>
      <w:r w:rsidR="00D90436">
        <w:t xml:space="preserve"> </w:t>
      </w:r>
      <w:r w:rsidR="00F00339">
        <w:t xml:space="preserve">It is also possible that </w:t>
      </w:r>
      <w:r w:rsidR="00BF1BA9">
        <w:t xml:space="preserve">such </w:t>
      </w:r>
      <w:r w:rsidR="00F00339">
        <w:t xml:space="preserve">data was </w:t>
      </w:r>
      <w:r w:rsidR="00BF1BA9">
        <w:t xml:space="preserve">available </w:t>
      </w:r>
      <w:r w:rsidR="001E01E1">
        <w:t xml:space="preserve">– for example, in the form of qualitative data from consultations with persons with disabilities – </w:t>
      </w:r>
      <w:r w:rsidR="00BF1BA9">
        <w:t xml:space="preserve">but </w:t>
      </w:r>
      <w:r w:rsidR="00874C7D">
        <w:t xml:space="preserve">was </w:t>
      </w:r>
      <w:r w:rsidR="00BF1BA9">
        <w:t>not reported as ‘</w:t>
      </w:r>
      <w:r w:rsidR="00874C7D">
        <w:t>disability data’</w:t>
      </w:r>
      <w:r w:rsidR="001E01E1">
        <w:t>.</w:t>
      </w:r>
    </w:p>
    <w:p w14:paraId="2328B879" w14:textId="3CE8402A" w:rsidR="00CD1A12" w:rsidRDefault="00CD1A12" w:rsidP="00CD1A12">
      <w:pPr>
        <w:pStyle w:val="ListParagraph"/>
      </w:pPr>
      <w:r>
        <w:t xml:space="preserve">Although the literature notes the CRPD and SDGs as being highly relevant to informing disability-inclusive approaches to eye health, examples of data being used to </w:t>
      </w:r>
      <w:r w:rsidRPr="00CD1A12">
        <w:rPr>
          <w:b/>
          <w:bCs/>
        </w:rPr>
        <w:t>monitor and report against the CRPD, SDGs and other frameworks</w:t>
      </w:r>
      <w:r>
        <w:t xml:space="preserve"> were not found. The </w:t>
      </w:r>
      <w:r>
        <w:lastRenderedPageBreak/>
        <w:t xml:space="preserve">reasons for this are unclear. Government respondents, who are responsible for such monitoring and reporting, were not included in this review. It is therefore possible that CRPD and SDG monitoring and reporting of the eye health sector is taking place without the involvement of eye health NGOs. However, it seems more likely – </w:t>
      </w:r>
      <w:r w:rsidRPr="00D5017F">
        <w:t>given WHO’s assessment that, globally, data for disability-inclusive health sector monitoring is rarely available</w:t>
      </w:r>
      <w:r w:rsidR="000D66F9" w:rsidRPr="00D5017F">
        <w:rPr>
          <w:rStyle w:val="EndnoteReference"/>
        </w:rPr>
        <w:endnoteReference w:id="6"/>
      </w:r>
      <w:r>
        <w:t xml:space="preserve"> – that disability data is not being used for this purpose in many contexts. This may represent a potential area of focus for eye health system strengthening efforts. </w:t>
      </w:r>
    </w:p>
    <w:p w14:paraId="1FFE793F" w14:textId="7DE01A58" w:rsidR="00D4491D" w:rsidRDefault="00874C7D" w:rsidP="00874C7D">
      <w:r>
        <w:t>T</w:t>
      </w:r>
      <w:r w:rsidR="00C31F78">
        <w:t>he types of data required</w:t>
      </w:r>
      <w:r>
        <w:t xml:space="preserve"> in each context</w:t>
      </w:r>
      <w:r w:rsidR="00410BCD">
        <w:t>, and the systems to support this,</w:t>
      </w:r>
      <w:r w:rsidR="00C31F78">
        <w:t xml:space="preserve"> </w:t>
      </w:r>
      <w:r>
        <w:t xml:space="preserve">will </w:t>
      </w:r>
      <w:r w:rsidR="00C31F78">
        <w:t>depend on the purpose</w:t>
      </w:r>
      <w:r w:rsidR="006054F4">
        <w:t>s</w:t>
      </w:r>
      <w:r w:rsidR="00C31F78">
        <w:t xml:space="preserve"> for which </w:t>
      </w:r>
      <w:r w:rsidR="0075747A">
        <w:t>data will be used</w:t>
      </w:r>
      <w:r w:rsidR="00C31F78">
        <w:t xml:space="preserve">. </w:t>
      </w:r>
      <w:r w:rsidR="007C2D43">
        <w:t>Disability data is often collected for multiple purposes; however, the primary identified purpose is often what shapes the design of disability data systems</w:t>
      </w:r>
      <w:r w:rsidR="00850E28">
        <w:t>.</w:t>
      </w:r>
      <w:r w:rsidR="00E97068">
        <w:t xml:space="preserve"> </w:t>
      </w:r>
      <w:r w:rsidR="00850E28">
        <w:t xml:space="preserve">It is therefore important </w:t>
      </w:r>
      <w:r w:rsidR="006B12E4">
        <w:t xml:space="preserve">to deliberately identify and prioritise </w:t>
      </w:r>
      <w:r w:rsidR="0075747A">
        <w:t>intended uses of data, and design correlating approaches to disability data.</w:t>
      </w:r>
      <w:r w:rsidR="00D4491D">
        <w:t xml:space="preserve"> For eye health programs, </w:t>
      </w:r>
      <w:r w:rsidR="00E700C6">
        <w:t xml:space="preserve">a key first step </w:t>
      </w:r>
      <w:r>
        <w:t xml:space="preserve">may be </w:t>
      </w:r>
      <w:r w:rsidR="00E700C6">
        <w:t xml:space="preserve">to articulate </w:t>
      </w:r>
      <w:r w:rsidR="004C7B79">
        <w:t xml:space="preserve">an approach to disability </w:t>
      </w:r>
      <w:r w:rsidR="007A7C99">
        <w:t xml:space="preserve">inclusion </w:t>
      </w:r>
      <w:r w:rsidR="001C233F">
        <w:t>for a particular context</w:t>
      </w:r>
      <w:r w:rsidR="003D09FE">
        <w:t xml:space="preserve"> or project</w:t>
      </w:r>
      <w:r w:rsidR="005A6EC1">
        <w:t xml:space="preserve"> – based on available evidence</w:t>
      </w:r>
      <w:r w:rsidR="009B18BA">
        <w:t>, experience from other (eye) health</w:t>
      </w:r>
      <w:r w:rsidR="005A6EC1">
        <w:t xml:space="preserve"> </w:t>
      </w:r>
      <w:r w:rsidR="009B18BA">
        <w:t xml:space="preserve">programming </w:t>
      </w:r>
      <w:r w:rsidR="005A6EC1">
        <w:t xml:space="preserve">and incorporating strategies </w:t>
      </w:r>
      <w:r w:rsidR="009B18BA">
        <w:t>to remove barriers to inclusion – and then build an approach to disability data around this.</w:t>
      </w:r>
    </w:p>
    <w:p w14:paraId="194A788A" w14:textId="55CE1E09" w:rsidR="003F3BDA" w:rsidRDefault="00820C72" w:rsidP="00226B27">
      <w:pPr>
        <w:pStyle w:val="Heading2"/>
        <w:numPr>
          <w:ilvl w:val="1"/>
          <w:numId w:val="15"/>
        </w:numPr>
      </w:pPr>
      <w:bookmarkStart w:id="8" w:name="_Toc135388368"/>
      <w:r>
        <w:t>Disability d</w:t>
      </w:r>
      <w:r w:rsidR="003F3BDA">
        <w:t>ata sources</w:t>
      </w:r>
      <w:r w:rsidR="0036117A">
        <w:t xml:space="preserve"> and collection </w:t>
      </w:r>
      <w:r w:rsidR="00F7662C">
        <w:t>methods</w:t>
      </w:r>
      <w:bookmarkEnd w:id="8"/>
    </w:p>
    <w:p w14:paraId="784826A4" w14:textId="05D7A4E8" w:rsidR="00225E8B" w:rsidRDefault="00225E8B" w:rsidP="00225E8B">
      <w:pPr>
        <w:pStyle w:val="Heading3"/>
        <w:numPr>
          <w:ilvl w:val="2"/>
          <w:numId w:val="15"/>
        </w:numPr>
      </w:pPr>
      <w:r>
        <w:t>Findings</w:t>
      </w:r>
    </w:p>
    <w:p w14:paraId="7AAF9758" w14:textId="31ADEC1F" w:rsidR="00F7662C" w:rsidRDefault="00D5017F" w:rsidP="00225E8B">
      <w:r>
        <w:t xml:space="preserve">Findings from the literature review and key informant interviews suggest that </w:t>
      </w:r>
      <w:r w:rsidR="00C61604">
        <w:t>d</w:t>
      </w:r>
      <w:r w:rsidR="008D7035">
        <w:t>isability data in the eye health sector is being collected through:</w:t>
      </w:r>
    </w:p>
    <w:p w14:paraId="6D480E4B" w14:textId="77777777" w:rsidR="00E5227C" w:rsidRDefault="00F26403" w:rsidP="007F637E">
      <w:pPr>
        <w:pStyle w:val="ListParagraph"/>
      </w:pPr>
      <w:r w:rsidRPr="00803F83">
        <w:rPr>
          <w:b/>
          <w:bCs/>
        </w:rPr>
        <w:t>Population</w:t>
      </w:r>
      <w:r w:rsidR="008D7035" w:rsidRPr="00803F83">
        <w:rPr>
          <w:b/>
          <w:bCs/>
        </w:rPr>
        <w:t>-based</w:t>
      </w:r>
      <w:r w:rsidRPr="00803F83">
        <w:rPr>
          <w:b/>
          <w:bCs/>
        </w:rPr>
        <w:t xml:space="preserve"> surveys</w:t>
      </w:r>
      <w:r w:rsidR="008D7035">
        <w:t xml:space="preserve"> – </w:t>
      </w:r>
      <w:r w:rsidR="003E39DA">
        <w:t xml:space="preserve">these include </w:t>
      </w:r>
      <w:r w:rsidR="00AA58FE">
        <w:t xml:space="preserve">eye health and disability </w:t>
      </w:r>
      <w:r w:rsidR="00411AC4">
        <w:t>quantitative or qualitative data that is being collected from a particular health catchment population.</w:t>
      </w:r>
      <w:r w:rsidR="00715AC3">
        <w:t xml:space="preserve"> </w:t>
      </w:r>
    </w:p>
    <w:p w14:paraId="03498F50" w14:textId="559A76C8" w:rsidR="007F637E" w:rsidRDefault="00E5227C" w:rsidP="00E5227C">
      <w:pPr>
        <w:pStyle w:val="ListParagraph"/>
        <w:numPr>
          <w:ilvl w:val="1"/>
          <w:numId w:val="17"/>
        </w:numPr>
      </w:pPr>
      <w:r>
        <w:rPr>
          <w:b/>
          <w:bCs/>
        </w:rPr>
        <w:t xml:space="preserve">General disability data </w:t>
      </w:r>
      <w:r>
        <w:t xml:space="preserve">– </w:t>
      </w:r>
      <w:r w:rsidR="00173F31">
        <w:t xml:space="preserve">Eye health organisations are drawing on secondary </w:t>
      </w:r>
      <w:r>
        <w:t xml:space="preserve">disability data from outside of the eye health sector to inform programming. This includes </w:t>
      </w:r>
      <w:r w:rsidR="0078439C">
        <w:t xml:space="preserve">census and statistical </w:t>
      </w:r>
      <w:r w:rsidR="00715AC3">
        <w:t xml:space="preserve">surveys </w:t>
      </w:r>
      <w:r w:rsidR="009A0675">
        <w:t xml:space="preserve">providing information on </w:t>
      </w:r>
      <w:r w:rsidR="00715AC3">
        <w:t>the prevalence</w:t>
      </w:r>
      <w:r w:rsidR="008502F1">
        <w:t xml:space="preserve"> </w:t>
      </w:r>
      <w:r w:rsidR="007B7715">
        <w:t xml:space="preserve">of disability </w:t>
      </w:r>
      <w:r w:rsidR="008502F1">
        <w:t>and experience</w:t>
      </w:r>
      <w:r w:rsidR="007B7715">
        <w:t>s</w:t>
      </w:r>
      <w:r w:rsidR="008502F1">
        <w:t xml:space="preserve"> of </w:t>
      </w:r>
      <w:r w:rsidR="007B7715">
        <w:t xml:space="preserve">persons with </w:t>
      </w:r>
      <w:r w:rsidR="008502F1">
        <w:t xml:space="preserve">disabilities </w:t>
      </w:r>
      <w:r w:rsidR="009A0675">
        <w:t xml:space="preserve">in relation to </w:t>
      </w:r>
      <w:r w:rsidR="00296E83">
        <w:t>health</w:t>
      </w:r>
      <w:r w:rsidR="009A0675">
        <w:t xml:space="preserve"> or other sectors</w:t>
      </w:r>
      <w:r w:rsidR="0078439C">
        <w:t>.</w:t>
      </w:r>
    </w:p>
    <w:p w14:paraId="26EFD7E5" w14:textId="04597BE7" w:rsidR="004813BF" w:rsidRDefault="007F637E" w:rsidP="007F637E">
      <w:pPr>
        <w:pStyle w:val="ListParagraph"/>
        <w:numPr>
          <w:ilvl w:val="1"/>
          <w:numId w:val="5"/>
        </w:numPr>
      </w:pPr>
      <w:r w:rsidRPr="007F637E">
        <w:rPr>
          <w:b/>
          <w:bCs/>
        </w:rPr>
        <w:t>RAABs</w:t>
      </w:r>
      <w:r>
        <w:t xml:space="preserve"> – </w:t>
      </w:r>
      <w:r w:rsidR="004C66CE">
        <w:t xml:space="preserve">Eye health organisations have </w:t>
      </w:r>
      <w:r w:rsidR="008909FF">
        <w:t xml:space="preserve">also started collecting disability data through </w:t>
      </w:r>
      <w:r w:rsidR="00E56A34">
        <w:t xml:space="preserve">local eye health population surveys. The most common of these is the </w:t>
      </w:r>
      <w:r w:rsidR="00C74E95">
        <w:t>Rapid Assessment of Avoidable Blindness (RAAB)</w:t>
      </w:r>
      <w:r w:rsidR="00E56A34">
        <w:t xml:space="preserve">, which since 2021 has </w:t>
      </w:r>
      <w:r w:rsidR="00F5051E">
        <w:t xml:space="preserve">included an </w:t>
      </w:r>
      <w:r w:rsidR="00C74E95">
        <w:t xml:space="preserve">optional disability module </w:t>
      </w:r>
      <w:r w:rsidR="00F5051E">
        <w:t>which incorporates the Washington Group Short Set of Questions (WG-SS – see Section 3.5 below).</w:t>
      </w:r>
      <w:r w:rsidR="00F315B4">
        <w:rPr>
          <w:rStyle w:val="EndnoteReference"/>
        </w:rPr>
        <w:endnoteReference w:id="7"/>
      </w:r>
      <w:r w:rsidR="00F5051E">
        <w:t xml:space="preserve"> </w:t>
      </w:r>
      <w:r w:rsidR="00556F59">
        <w:t xml:space="preserve">This enables disaggregation of key eye health data, allowing analysts to understand </w:t>
      </w:r>
      <w:r w:rsidR="0067711A">
        <w:t>the relationship between disability and eye health</w:t>
      </w:r>
      <w:r w:rsidR="00F32DDD">
        <w:t xml:space="preserve"> </w:t>
      </w:r>
      <w:proofErr w:type="gramStart"/>
      <w:r w:rsidR="00F32DDD">
        <w:t>in a given</w:t>
      </w:r>
      <w:proofErr w:type="gramEnd"/>
      <w:r w:rsidR="00F32DDD">
        <w:t xml:space="preserve"> population</w:t>
      </w:r>
      <w:r w:rsidR="00E25DB7">
        <w:t>.</w:t>
      </w:r>
      <w:r w:rsidR="00F32DDD">
        <w:t xml:space="preserve"> </w:t>
      </w:r>
      <w:r w:rsidR="004813BF">
        <w:t xml:space="preserve">Data </w:t>
      </w:r>
      <w:r w:rsidR="00AC318E">
        <w:t xml:space="preserve">from these surveys consistently shows that </w:t>
      </w:r>
      <w:r w:rsidR="004813BF">
        <w:t>that persons with disabilities experience higher incidence of vision impairment and eye health problems, but are less likely to access eye health services, compared to persons without disabilities.</w:t>
      </w:r>
      <w:r w:rsidR="00C855B9" w:rsidRPr="00C855B9">
        <w:t xml:space="preserve"> </w:t>
      </w:r>
      <w:r w:rsidR="00C855B9">
        <w:t xml:space="preserve">There is also the potential of </w:t>
      </w:r>
      <w:r w:rsidR="008C4273">
        <w:t xml:space="preserve">conducting </w:t>
      </w:r>
      <w:r w:rsidR="00C855B9">
        <w:t xml:space="preserve">repeat RAAB surveys </w:t>
      </w:r>
      <w:r w:rsidR="003C6555">
        <w:t xml:space="preserve">including the disability module </w:t>
      </w:r>
      <w:r w:rsidR="00C855B9">
        <w:t xml:space="preserve">to measure </w:t>
      </w:r>
      <w:r w:rsidR="00FD1B78">
        <w:t xml:space="preserve">eye </w:t>
      </w:r>
      <w:r w:rsidR="003C6555">
        <w:t xml:space="preserve">health </w:t>
      </w:r>
      <w:r w:rsidR="00C855B9">
        <w:t xml:space="preserve">outcomes in </w:t>
      </w:r>
      <w:r w:rsidR="003C6555">
        <w:t xml:space="preserve">terms of </w:t>
      </w:r>
      <w:r w:rsidR="007558DC">
        <w:t xml:space="preserve">service coverage rates </w:t>
      </w:r>
      <w:r w:rsidR="00C855B9">
        <w:t xml:space="preserve">and </w:t>
      </w:r>
      <w:r w:rsidR="003C6555">
        <w:t xml:space="preserve">vision impairment </w:t>
      </w:r>
      <w:r w:rsidR="00C855B9">
        <w:t xml:space="preserve">prevalence </w:t>
      </w:r>
      <w:r w:rsidR="008C4273">
        <w:t xml:space="preserve">within a given </w:t>
      </w:r>
      <w:r w:rsidR="00C855B9">
        <w:t>a hospital catchment population</w:t>
      </w:r>
      <w:r w:rsidR="008C4273">
        <w:t>, and to compare these outcomes over time for both persons with and without disabilities.</w:t>
      </w:r>
      <w:r w:rsidR="00803F83">
        <w:t xml:space="preserve"> </w:t>
      </w:r>
    </w:p>
    <w:p w14:paraId="6E746EC1" w14:textId="123A92A8" w:rsidR="00253941" w:rsidRDefault="0099070D" w:rsidP="000443EC">
      <w:pPr>
        <w:pStyle w:val="ListParagraph"/>
      </w:pPr>
      <w:r w:rsidRPr="007A2B5C">
        <w:rPr>
          <w:b/>
          <w:bCs/>
        </w:rPr>
        <w:t>Facility</w:t>
      </w:r>
      <w:r w:rsidR="007A2B5C" w:rsidRPr="007A2B5C">
        <w:rPr>
          <w:b/>
          <w:bCs/>
        </w:rPr>
        <w:t>-based</w:t>
      </w:r>
      <w:r w:rsidRPr="007A2B5C">
        <w:rPr>
          <w:b/>
          <w:bCs/>
        </w:rPr>
        <w:t xml:space="preserve"> e</w:t>
      </w:r>
      <w:r w:rsidR="00D31CB6" w:rsidRPr="007A2B5C">
        <w:rPr>
          <w:b/>
          <w:bCs/>
        </w:rPr>
        <w:t>ye health patient data</w:t>
      </w:r>
      <w:r w:rsidR="007A2B5C">
        <w:t xml:space="preserve"> –</w:t>
      </w:r>
      <w:r w:rsidR="002022D7">
        <w:t xml:space="preserve"> this includes information </w:t>
      </w:r>
      <w:r w:rsidR="00D50972">
        <w:t>on</w:t>
      </w:r>
      <w:r w:rsidR="001E2ACB">
        <w:t xml:space="preserve"> disability collected from persons accessing eye health services</w:t>
      </w:r>
      <w:r w:rsidR="00ED5195">
        <w:t xml:space="preserve">, either in hospitals/clinics or outreach camps. </w:t>
      </w:r>
      <w:r w:rsidR="001A0E2B">
        <w:t xml:space="preserve">This may be collected </w:t>
      </w:r>
      <w:r w:rsidR="00853BA8">
        <w:t xml:space="preserve">routinely </w:t>
      </w:r>
      <w:r w:rsidR="001A0E2B">
        <w:t xml:space="preserve">through a facility’s health </w:t>
      </w:r>
      <w:r w:rsidR="001A0E2B">
        <w:lastRenderedPageBreak/>
        <w:t>management information system (HMIS</w:t>
      </w:r>
      <w:proofErr w:type="gramStart"/>
      <w:r w:rsidR="001A0E2B">
        <w:t>)</w:t>
      </w:r>
      <w:proofErr w:type="gramEnd"/>
      <w:r w:rsidR="001A0E2B">
        <w:t xml:space="preserve"> or it may be collected through separate </w:t>
      </w:r>
      <w:r w:rsidR="00853BA8">
        <w:t xml:space="preserve">systems (see Section 3.6). It </w:t>
      </w:r>
      <w:r w:rsidR="00FB1583">
        <w:t>involves personnel somewhere in the patient flow administering a questionnaire relating to disability to every eye health patient</w:t>
      </w:r>
      <w:r w:rsidR="00B92C28">
        <w:t xml:space="preserve">. </w:t>
      </w:r>
      <w:r w:rsidR="00A0226F">
        <w:t xml:space="preserve">Literature and key informants </w:t>
      </w:r>
      <w:r w:rsidR="001A14C5">
        <w:t>report</w:t>
      </w:r>
      <w:r w:rsidR="00A0226F">
        <w:t>ed</w:t>
      </w:r>
      <w:r w:rsidR="001A14C5">
        <w:t xml:space="preserve"> that </w:t>
      </w:r>
      <w:r w:rsidR="00B92C28">
        <w:t xml:space="preserve">it has </w:t>
      </w:r>
      <w:r w:rsidR="001A14C5">
        <w:t xml:space="preserve">often </w:t>
      </w:r>
      <w:r w:rsidR="00B92C28">
        <w:t xml:space="preserve">taken considerable effort from eye health NGOs and hospitals to implement </w:t>
      </w:r>
      <w:r w:rsidR="008F2EAC">
        <w:t>such data collection, due to resourcing requirements, unfamiliarity with disability data tools</w:t>
      </w:r>
      <w:r w:rsidR="00FB1583">
        <w:t xml:space="preserve"> </w:t>
      </w:r>
      <w:r w:rsidR="008F2EAC">
        <w:t xml:space="preserve">or the need to demonstrate the </w:t>
      </w:r>
      <w:r w:rsidR="00D470E2">
        <w:t xml:space="preserve">value of such data to health system stakeholders </w:t>
      </w:r>
      <w:r w:rsidR="00FB1583">
        <w:t>(see Section</w:t>
      </w:r>
      <w:r w:rsidR="00D470E2">
        <w:t>s 3.6 and</w:t>
      </w:r>
      <w:r w:rsidR="00FB1583">
        <w:t xml:space="preserve"> 3.7). </w:t>
      </w:r>
      <w:r w:rsidR="00DE70CB">
        <w:t xml:space="preserve">All </w:t>
      </w:r>
      <w:r w:rsidR="001C1BA7">
        <w:t xml:space="preserve">reviewed examples of </w:t>
      </w:r>
      <w:r w:rsidR="00AF4C8A">
        <w:t>facility</w:t>
      </w:r>
      <w:r w:rsidR="00A139E0">
        <w:t>-based disability data collection included questions to identify disability for the purposes of disaggregation (see Section 3.5)</w:t>
      </w:r>
      <w:r w:rsidR="00063B37">
        <w:t xml:space="preserve">, </w:t>
      </w:r>
      <w:r w:rsidR="000977A9">
        <w:t xml:space="preserve">which then enabled analysis of the extent of access to </w:t>
      </w:r>
      <w:r w:rsidR="00773D16">
        <w:t>their services by persons with disabilities</w:t>
      </w:r>
      <w:r w:rsidR="00A139E0">
        <w:t xml:space="preserve">. </w:t>
      </w:r>
      <w:r w:rsidR="008D141E">
        <w:t xml:space="preserve">Some eye health facilities </w:t>
      </w:r>
      <w:r w:rsidR="00A0226F">
        <w:t xml:space="preserve">were reported </w:t>
      </w:r>
      <w:r w:rsidR="004F6CCB">
        <w:t>to be</w:t>
      </w:r>
      <w:r w:rsidR="008D141E">
        <w:t xml:space="preserve"> collecting data on use of assistive devices</w:t>
      </w:r>
      <w:r w:rsidR="000977A9">
        <w:t xml:space="preserve"> or support requirements</w:t>
      </w:r>
      <w:r w:rsidR="00A0226F">
        <w:t xml:space="preserve">, </w:t>
      </w:r>
      <w:r w:rsidR="00773D16">
        <w:t xml:space="preserve">to </w:t>
      </w:r>
      <w:r w:rsidR="00163C6D">
        <w:t xml:space="preserve">inform </w:t>
      </w:r>
      <w:r w:rsidR="0008786F">
        <w:t xml:space="preserve">provision of reasonable accommodations or </w:t>
      </w:r>
      <w:r w:rsidR="00163C6D">
        <w:t>accessibility</w:t>
      </w:r>
      <w:r w:rsidR="0052431E">
        <w:t xml:space="preserve"> adjustments to </w:t>
      </w:r>
      <w:r w:rsidR="00163C6D">
        <w:t>their facility.</w:t>
      </w:r>
    </w:p>
    <w:p w14:paraId="7FDB181A" w14:textId="26D52C80" w:rsidR="00820C72" w:rsidRDefault="00820C72" w:rsidP="00B66F14">
      <w:pPr>
        <w:pStyle w:val="ListParagraph"/>
      </w:pPr>
      <w:r w:rsidRPr="00BB38B7">
        <w:rPr>
          <w:b/>
          <w:bCs/>
        </w:rPr>
        <w:t>Health insurance data</w:t>
      </w:r>
      <w:r w:rsidR="00BB38B7">
        <w:t xml:space="preserve"> – in some countries</w:t>
      </w:r>
      <w:r w:rsidR="006645F0">
        <w:t xml:space="preserve"> (</w:t>
      </w:r>
      <w:r w:rsidR="00DD3E2C">
        <w:t>e.g. Vietnam)</w:t>
      </w:r>
      <w:r w:rsidR="00FC1050">
        <w:t>,</w:t>
      </w:r>
      <w:r w:rsidR="00BB38B7">
        <w:t xml:space="preserve"> </w:t>
      </w:r>
      <w:r w:rsidR="00190BD8">
        <w:t>public health insurance dat</w:t>
      </w:r>
      <w:r w:rsidR="00292E49">
        <w:t xml:space="preserve">a </w:t>
      </w:r>
      <w:r w:rsidR="00436D9D">
        <w:t xml:space="preserve">contains disability information which </w:t>
      </w:r>
      <w:r w:rsidR="00292E49">
        <w:t xml:space="preserve">can be linked to </w:t>
      </w:r>
      <w:r w:rsidR="00CF1CDD">
        <w:t xml:space="preserve">an individual patient’s eye health </w:t>
      </w:r>
      <w:r w:rsidR="00436D9D">
        <w:t>records</w:t>
      </w:r>
      <w:r w:rsidR="00FC1050">
        <w:t xml:space="preserve">. This </w:t>
      </w:r>
      <w:r w:rsidR="00DC6ABF">
        <w:t xml:space="preserve">greatly simplifies </w:t>
      </w:r>
      <w:r w:rsidR="00D111FC">
        <w:t xml:space="preserve">data collection for </w:t>
      </w:r>
      <w:r w:rsidR="000A78FD">
        <w:t xml:space="preserve">health facilities, </w:t>
      </w:r>
      <w:r w:rsidR="00D111FC">
        <w:t xml:space="preserve">but the data will be limited by the extent </w:t>
      </w:r>
      <w:r w:rsidR="00345866">
        <w:t xml:space="preserve">and nature </w:t>
      </w:r>
      <w:r w:rsidR="00D111FC">
        <w:t xml:space="preserve">of disability information </w:t>
      </w:r>
      <w:r w:rsidR="00345866">
        <w:t>available.</w:t>
      </w:r>
      <w:r w:rsidR="00345866">
        <w:rPr>
          <w:rStyle w:val="EndnoteReference"/>
        </w:rPr>
        <w:endnoteReference w:id="8"/>
      </w:r>
      <w:r w:rsidR="00F124D3">
        <w:t xml:space="preserve"> </w:t>
      </w:r>
    </w:p>
    <w:p w14:paraId="6A7BDF21" w14:textId="0BEB7624" w:rsidR="00820848" w:rsidRDefault="0099070D" w:rsidP="00F26403">
      <w:pPr>
        <w:pStyle w:val="ListParagraph"/>
      </w:pPr>
      <w:r w:rsidRPr="007167AF">
        <w:rPr>
          <w:b/>
          <w:bCs/>
        </w:rPr>
        <w:t>Facility a</w:t>
      </w:r>
      <w:r w:rsidR="00820848" w:rsidRPr="007167AF">
        <w:rPr>
          <w:b/>
          <w:bCs/>
        </w:rPr>
        <w:t>udit</w:t>
      </w:r>
      <w:r w:rsidR="00D726FD" w:rsidRPr="007167AF">
        <w:rPr>
          <w:b/>
          <w:bCs/>
        </w:rPr>
        <w:t>/self-assessment</w:t>
      </w:r>
      <w:r w:rsidR="00820848" w:rsidRPr="007167AF">
        <w:rPr>
          <w:b/>
          <w:bCs/>
        </w:rPr>
        <w:t xml:space="preserve"> </w:t>
      </w:r>
      <w:r w:rsidR="00D726FD" w:rsidRPr="007167AF">
        <w:rPr>
          <w:b/>
          <w:bCs/>
        </w:rPr>
        <w:t>tools</w:t>
      </w:r>
      <w:r w:rsidR="009B2F8C" w:rsidRPr="007167AF">
        <w:rPr>
          <w:b/>
          <w:bCs/>
        </w:rPr>
        <w:t xml:space="preserve"> </w:t>
      </w:r>
      <w:r w:rsidR="007167AF">
        <w:t>–</w:t>
      </w:r>
      <w:r w:rsidR="00381AF1">
        <w:t xml:space="preserve"> </w:t>
      </w:r>
      <w:r w:rsidR="004D780D">
        <w:t xml:space="preserve">Eye </w:t>
      </w:r>
      <w:r w:rsidR="009E40DA">
        <w:t xml:space="preserve">health </w:t>
      </w:r>
      <w:r w:rsidR="001A1B31">
        <w:t>and disability</w:t>
      </w:r>
      <w:r w:rsidR="004D780D">
        <w:t>-</w:t>
      </w:r>
      <w:r w:rsidR="001A1B31">
        <w:t xml:space="preserve">inclusive health </w:t>
      </w:r>
      <w:r w:rsidR="009E40DA">
        <w:t xml:space="preserve">organisations are </w:t>
      </w:r>
      <w:r w:rsidR="0057530E">
        <w:t xml:space="preserve">developing and using various tools which </w:t>
      </w:r>
      <w:r w:rsidR="00E61604">
        <w:t xml:space="preserve">aim to </w:t>
      </w:r>
      <w:r w:rsidR="0057530E">
        <w:t xml:space="preserve">assess </w:t>
      </w:r>
      <w:r w:rsidR="00934DB8">
        <w:t xml:space="preserve">the </w:t>
      </w:r>
      <w:r w:rsidR="0057530E">
        <w:t>disability-inclusive</w:t>
      </w:r>
      <w:r w:rsidR="00E61604">
        <w:t>ness</w:t>
      </w:r>
      <w:r w:rsidR="0057530E">
        <w:t xml:space="preserve"> </w:t>
      </w:r>
      <w:r w:rsidR="00E61604">
        <w:t>of</w:t>
      </w:r>
      <w:r w:rsidR="0057530E">
        <w:t xml:space="preserve"> health facilit</w:t>
      </w:r>
      <w:r w:rsidR="00E61604">
        <w:t>ies</w:t>
      </w:r>
      <w:r w:rsidR="0057530E">
        <w:t xml:space="preserve">. </w:t>
      </w:r>
      <w:r w:rsidR="0043118A">
        <w:t xml:space="preserve">Most </w:t>
      </w:r>
      <w:r w:rsidR="00E61604">
        <w:t xml:space="preserve">key informants </w:t>
      </w:r>
      <w:r w:rsidR="0043118A">
        <w:t xml:space="preserve">mentioned various forms of accessibility audits or inclusion audits being conducted at health facilities – however these were mostly </w:t>
      </w:r>
      <w:r w:rsidR="009B2583">
        <w:t xml:space="preserve">reported </w:t>
      </w:r>
      <w:r w:rsidR="0043118A">
        <w:t>as programmatic tools rather than sources of data.</w:t>
      </w:r>
      <w:r w:rsidR="005B6BF3">
        <w:t xml:space="preserve"> </w:t>
      </w:r>
      <w:proofErr w:type="spellStart"/>
      <w:r w:rsidR="005B6BF3">
        <w:t>Sightsavers</w:t>
      </w:r>
      <w:proofErr w:type="spellEnd"/>
      <w:r w:rsidR="005B6BF3">
        <w:t xml:space="preserve"> has developed </w:t>
      </w:r>
      <w:r w:rsidR="001072A0">
        <w:t>a</w:t>
      </w:r>
      <w:r w:rsidR="00786234">
        <w:t xml:space="preserve"> detailed</w:t>
      </w:r>
      <w:r w:rsidR="001072A0">
        <w:t xml:space="preserve"> accessibility guide and audit tool for </w:t>
      </w:r>
      <w:r w:rsidR="00786234">
        <w:t>health facilities.</w:t>
      </w:r>
      <w:r w:rsidR="000F5D01">
        <w:rPr>
          <w:rStyle w:val="EndnoteReference"/>
        </w:rPr>
        <w:endnoteReference w:id="9"/>
      </w:r>
      <w:r w:rsidR="00C33B44">
        <w:t xml:space="preserve"> </w:t>
      </w:r>
      <w:r w:rsidR="00B45130">
        <w:t>R</w:t>
      </w:r>
      <w:r w:rsidR="00B45130" w:rsidRPr="00C275DA">
        <w:t xml:space="preserve">esearchers in South Africa </w:t>
      </w:r>
      <w:r w:rsidR="00B45130">
        <w:t>have developed a</w:t>
      </w:r>
      <w:r w:rsidR="00C275DA" w:rsidRPr="00C275DA">
        <w:t xml:space="preserve"> rapid disability inclusion checklist for health</w:t>
      </w:r>
      <w:r w:rsidR="00B45130">
        <w:t xml:space="preserve"> </w:t>
      </w:r>
      <w:r w:rsidR="00C275DA" w:rsidRPr="00C275DA">
        <w:t xml:space="preserve">workers </w:t>
      </w:r>
      <w:r w:rsidR="00B45130">
        <w:t xml:space="preserve">to use </w:t>
      </w:r>
      <w:r w:rsidR="00C275DA" w:rsidRPr="00C275DA">
        <w:t>to audit their own facilities and identify ways of improving them</w:t>
      </w:r>
      <w:r w:rsidR="00B45130">
        <w:t>;</w:t>
      </w:r>
      <w:r w:rsidR="00A42B99">
        <w:rPr>
          <w:rStyle w:val="EndnoteReference"/>
        </w:rPr>
        <w:endnoteReference w:id="10"/>
      </w:r>
      <w:r w:rsidR="00B45130">
        <w:t xml:space="preserve"> </w:t>
      </w:r>
      <w:r w:rsidR="00940935">
        <w:t>i</w:t>
      </w:r>
      <w:r w:rsidR="00C275DA" w:rsidRPr="00C275DA">
        <w:t xml:space="preserve">t is currently being adapted </w:t>
      </w:r>
      <w:r w:rsidR="00940935">
        <w:t xml:space="preserve">by researchers at the London School of Hygiene and Tropical Medicine </w:t>
      </w:r>
      <w:r w:rsidR="00C275DA" w:rsidRPr="00C275DA">
        <w:t>for testing in low</w:t>
      </w:r>
      <w:r w:rsidR="00940935">
        <w:t>-</w:t>
      </w:r>
      <w:r w:rsidR="00C275DA" w:rsidRPr="00C275DA">
        <w:t xml:space="preserve">income countries. </w:t>
      </w:r>
      <w:r w:rsidR="00AF16D7">
        <w:t xml:space="preserve">Such </w:t>
      </w:r>
      <w:r w:rsidR="00EE78CE">
        <w:t xml:space="preserve">tools could be </w:t>
      </w:r>
      <w:r w:rsidR="00AF16D7">
        <w:t xml:space="preserve">further </w:t>
      </w:r>
      <w:r w:rsidR="00EE78CE">
        <w:t xml:space="preserve">adapted for the specific context of eye health facilities. </w:t>
      </w:r>
      <w:r w:rsidR="00035291">
        <w:t xml:space="preserve">They </w:t>
      </w:r>
      <w:r w:rsidR="00D20ED4">
        <w:t>c</w:t>
      </w:r>
      <w:r w:rsidR="00035291">
        <w:t>ould also be considered as sources of disability data;</w:t>
      </w:r>
      <w:r w:rsidR="00EE78CE">
        <w:t xml:space="preserve"> various audit/self-assessment tools are </w:t>
      </w:r>
      <w:r w:rsidR="00035291">
        <w:t xml:space="preserve">already </w:t>
      </w:r>
      <w:r w:rsidR="00EE78CE">
        <w:t>used in the health sector</w:t>
      </w:r>
      <w:r w:rsidR="00497941">
        <w:t xml:space="preserve">, including some that calculate a </w:t>
      </w:r>
      <w:r w:rsidR="00EE78CE">
        <w:t xml:space="preserve">rating </w:t>
      </w:r>
      <w:r w:rsidR="00C430ED">
        <w:t xml:space="preserve">or score that is reported </w:t>
      </w:r>
      <w:r w:rsidR="00EE78CE">
        <w:t>against health system strengthening indicators.</w:t>
      </w:r>
    </w:p>
    <w:p w14:paraId="53FB0DB0" w14:textId="0BE9A891" w:rsidR="00AF4C8A" w:rsidRDefault="0099070D" w:rsidP="0099070D">
      <w:pPr>
        <w:pStyle w:val="ListParagraph"/>
      </w:pPr>
      <w:r w:rsidRPr="00A1470D">
        <w:rPr>
          <w:b/>
          <w:bCs/>
        </w:rPr>
        <w:t>Focus groups</w:t>
      </w:r>
      <w:r w:rsidR="00ED0705" w:rsidRPr="00A1470D">
        <w:rPr>
          <w:b/>
          <w:bCs/>
        </w:rPr>
        <w:t xml:space="preserve"> and</w:t>
      </w:r>
      <w:r w:rsidRPr="00A1470D">
        <w:rPr>
          <w:b/>
          <w:bCs/>
        </w:rPr>
        <w:t xml:space="preserve"> key informant interviews</w:t>
      </w:r>
      <w:r w:rsidR="00AF4C8A">
        <w:t xml:space="preserve"> </w:t>
      </w:r>
      <w:r w:rsidR="00ED0705">
        <w:t xml:space="preserve">– </w:t>
      </w:r>
      <w:r w:rsidR="006350A3">
        <w:t xml:space="preserve">key informants </w:t>
      </w:r>
      <w:r w:rsidR="00ED0705">
        <w:t>mentioned that focus group discussions or key informant interviews with persons with disabilities</w:t>
      </w:r>
      <w:r w:rsidR="00175302">
        <w:t xml:space="preserve"> or OPDs</w:t>
      </w:r>
      <w:r w:rsidR="00ED0705">
        <w:t xml:space="preserve"> are </w:t>
      </w:r>
      <w:r w:rsidR="00507EB9">
        <w:t>taking place occasionally as part of situation analyses and project evaluations</w:t>
      </w:r>
      <w:r w:rsidR="006350A3">
        <w:t xml:space="preserve">, for example, to </w:t>
      </w:r>
      <w:r w:rsidR="004E7CC8">
        <w:t>capture perceptions of the inclusiveness of services</w:t>
      </w:r>
      <w:r w:rsidR="00507EB9">
        <w:t>.</w:t>
      </w:r>
      <w:r w:rsidR="00612C87">
        <w:t xml:space="preserve"> Examples of the types of information collected from these sources were not </w:t>
      </w:r>
      <w:r w:rsidR="001D27C7">
        <w:t>specifically mentioned.</w:t>
      </w:r>
    </w:p>
    <w:p w14:paraId="3E385A89" w14:textId="77777777" w:rsidR="002F64CC" w:rsidRDefault="004F64C0" w:rsidP="004F64C0">
      <w:r w:rsidRPr="001E49A3">
        <w:t xml:space="preserve">Overall, there </w:t>
      </w:r>
      <w:r>
        <w:t>was a</w:t>
      </w:r>
      <w:r w:rsidRPr="001E49A3">
        <w:t xml:space="preserve"> strong emphasis in eye health literature and </w:t>
      </w:r>
      <w:r>
        <w:t xml:space="preserve">reported </w:t>
      </w:r>
      <w:r w:rsidRPr="001E49A3">
        <w:t>practice on collecting population data and disability-disaggregated facility data.</w:t>
      </w:r>
      <w:r>
        <w:t xml:space="preserve"> These </w:t>
      </w:r>
      <w:r w:rsidR="00A84163">
        <w:t xml:space="preserve">were </w:t>
      </w:r>
      <w:r>
        <w:t xml:space="preserve">both </w:t>
      </w:r>
      <w:r w:rsidR="00A84163">
        <w:t xml:space="preserve">reported as being </w:t>
      </w:r>
      <w:r>
        <w:t xml:space="preserve">extremely valuable sources of information, but </w:t>
      </w:r>
      <w:r w:rsidR="002F64CC">
        <w:t xml:space="preserve">also being </w:t>
      </w:r>
      <w:r>
        <w:t xml:space="preserve">resource-intensive and challenging to implement. (Resourcing and process considerations are considered further in Section 3.7.) </w:t>
      </w:r>
    </w:p>
    <w:p w14:paraId="0208BD31" w14:textId="408077C3" w:rsidR="004F64C0" w:rsidRDefault="002F64CC" w:rsidP="009F7362">
      <w:r>
        <w:t xml:space="preserve">Key informants reported diverging views </w:t>
      </w:r>
      <w:r w:rsidRPr="006D4245">
        <w:t>on</w:t>
      </w:r>
      <w:r w:rsidRPr="00BF5082">
        <w:rPr>
          <w:b/>
          <w:bCs/>
        </w:rPr>
        <w:t xml:space="preserve"> whether disability data efforts ought to start first with population-level data or facility-level data</w:t>
      </w:r>
      <w:r>
        <w:t xml:space="preserve">. Some reported </w:t>
      </w:r>
      <w:r w:rsidR="003F66B4">
        <w:t xml:space="preserve">first </w:t>
      </w:r>
      <w:r w:rsidR="004F64C0">
        <w:t xml:space="preserve">investing in disability-disaggregated population surveys </w:t>
      </w:r>
      <w:proofErr w:type="gramStart"/>
      <w:r w:rsidR="004F64C0">
        <w:t>in order to</w:t>
      </w:r>
      <w:proofErr w:type="gramEnd"/>
      <w:r w:rsidR="004F64C0">
        <w:t xml:space="preserve"> understand the eye health needs of persons with disabilities, and then designing appropriate inclusive interventions. </w:t>
      </w:r>
      <w:r w:rsidR="00BF5082">
        <w:t xml:space="preserve">These informants expressed the view that </w:t>
      </w:r>
      <w:r w:rsidR="004F64C0">
        <w:t>facility-based data is only required later in the program cycle: to evaluate the effectiveness of disability inclusive interventions.</w:t>
      </w:r>
      <w:r w:rsidR="006D4245">
        <w:t xml:space="preserve"> </w:t>
      </w:r>
      <w:r w:rsidR="004F64C0">
        <w:t>Other</w:t>
      </w:r>
      <w:r w:rsidR="004D6D2D">
        <w:t xml:space="preserve"> eye health NGOs </w:t>
      </w:r>
      <w:r w:rsidR="004F64C0">
        <w:t xml:space="preserve">have prioritised collecting disability-disaggregated facility data, </w:t>
      </w:r>
      <w:r w:rsidR="004D6D2D">
        <w:t xml:space="preserve">and using this to </w:t>
      </w:r>
      <w:r w:rsidR="004F64C0">
        <w:t xml:space="preserve">demonstrate to facility stakeholders that their existing </w:t>
      </w:r>
      <w:r w:rsidR="004F64C0">
        <w:lastRenderedPageBreak/>
        <w:t xml:space="preserve">patients include persons with disabilities </w:t>
      </w:r>
      <w:r w:rsidR="00C60E3D">
        <w:t xml:space="preserve">and/or that </w:t>
      </w:r>
      <w:r w:rsidR="004F02E1">
        <w:t xml:space="preserve">relatively few persons with disabilities are </w:t>
      </w:r>
      <w:r w:rsidR="006D4245">
        <w:t xml:space="preserve">accessing their services – </w:t>
      </w:r>
      <w:r w:rsidR="004F64C0">
        <w:t xml:space="preserve">and therefore that inclusive interventions are required. </w:t>
      </w:r>
    </w:p>
    <w:p w14:paraId="631A6632" w14:textId="3D8B48E7" w:rsidR="00C8524A" w:rsidRDefault="003E56A7" w:rsidP="003E56A7">
      <w:pPr>
        <w:pStyle w:val="Heading3"/>
        <w:numPr>
          <w:ilvl w:val="2"/>
          <w:numId w:val="15"/>
        </w:numPr>
      </w:pPr>
      <w:r>
        <w:t>Discussion</w:t>
      </w:r>
    </w:p>
    <w:p w14:paraId="7B6F3D7A" w14:textId="2221784C" w:rsidR="00874C7D" w:rsidRDefault="006115BD" w:rsidP="00874C7D">
      <w:r>
        <w:t xml:space="preserve">Disability inclusive </w:t>
      </w:r>
      <w:r w:rsidR="00BB016B">
        <w:t xml:space="preserve">eye health programs will require disability data from a range of sources – potentially a mix of </w:t>
      </w:r>
      <w:proofErr w:type="gramStart"/>
      <w:r w:rsidR="00BB016B">
        <w:t>all of</w:t>
      </w:r>
      <w:proofErr w:type="gramEnd"/>
      <w:r w:rsidR="00BB016B">
        <w:t xml:space="preserve"> the above at different stages of programming. </w:t>
      </w:r>
      <w:r w:rsidR="00874C7D" w:rsidRPr="00342F6F">
        <w:t xml:space="preserve">Selection of appropriate disability data sources and collection methods should be based around the information requirements of disability inclusive eye health programs. </w:t>
      </w:r>
    </w:p>
    <w:p w14:paraId="1F31CE4B" w14:textId="7203BEA8" w:rsidR="00022DCE" w:rsidRDefault="00022DCE" w:rsidP="00022DCE">
      <w:r w:rsidRPr="00835F5A">
        <w:t>There is clear evidence in the literature that</w:t>
      </w:r>
      <w:r w:rsidRPr="00022DCE">
        <w:rPr>
          <w:b/>
          <w:bCs/>
        </w:rPr>
        <w:t xml:space="preserve"> measuring equity of access to eye health for persons with disabilities requires both facility-based data and population-level data</w:t>
      </w:r>
      <w:r>
        <w:t xml:space="preserve"> for a given health service catchment area, and that </w:t>
      </w:r>
      <w:proofErr w:type="gramStart"/>
      <w:r>
        <w:t>both of these</w:t>
      </w:r>
      <w:proofErr w:type="gramEnd"/>
      <w:r>
        <w:t xml:space="preserve"> must use a comparable approach to disability disaggregation in order to enable comparative analysis. There are relatively few examples where this is the case. Where it has been achieved, it has often been through significant investment in population surveys and health facility data strengthening, and/or through aligning definitions of disability in health facility data to those in already-existing population data. </w:t>
      </w:r>
      <w:r w:rsidRPr="00EF434C">
        <w:t xml:space="preserve">The recent inclusion of the WG-SS in the RAAB and the growing consensus around its use in eye health facility-based data should make this task much easier, and further points towards the rationale for a consistent approach to disability data disaggregation (DDD) discussed in the following section. </w:t>
      </w:r>
      <w:r w:rsidR="007073D4" w:rsidRPr="00EF434C">
        <w:t>M</w:t>
      </w:r>
      <w:r w:rsidRPr="00EF434C">
        <w:t>ore should be done to build awareness of the value of this module and encourage its routine inclusion in surveys.</w:t>
      </w:r>
    </w:p>
    <w:p w14:paraId="3C345408" w14:textId="1473D89F" w:rsidR="00E35A61" w:rsidRDefault="00E35A61" w:rsidP="00E35A61">
      <w:r>
        <w:t xml:space="preserve">In practice, however, resources are constrained, and those designing and managing eye health programs and services may need to make choices about where to prioritise the resources available for disability data. This will vary for each context, based on assessment of available resources and the potential scope for different types of disability data to support change. </w:t>
      </w:r>
    </w:p>
    <w:p w14:paraId="0E424062" w14:textId="43E5ADFB" w:rsidR="007963CA" w:rsidRDefault="00AC001E" w:rsidP="0095721D">
      <w:r>
        <w:t xml:space="preserve">Population-level </w:t>
      </w:r>
      <w:r w:rsidR="00E634F9">
        <w:t xml:space="preserve">disability </w:t>
      </w:r>
      <w:r>
        <w:t>data is highly relevant to inform the design of inclusive eye health services.</w:t>
      </w:r>
      <w:r w:rsidR="0008008A">
        <w:t xml:space="preserve"> </w:t>
      </w:r>
      <w:r w:rsidR="0008008A" w:rsidRPr="00753A2E">
        <w:rPr>
          <w:b/>
          <w:bCs/>
        </w:rPr>
        <w:t>Disability-disaggregated eye health population data</w:t>
      </w:r>
      <w:r w:rsidR="0008008A">
        <w:t xml:space="preserve"> (such as that collected by the RAAB)</w:t>
      </w:r>
      <w:r w:rsidR="0008008A" w:rsidRPr="0008008A">
        <w:t xml:space="preserve"> can </w:t>
      </w:r>
      <w:r w:rsidR="00F36427">
        <w:t xml:space="preserve">estimate </w:t>
      </w:r>
      <w:r w:rsidR="0008008A" w:rsidRPr="0008008A">
        <w:t>the prevalence of disabilit</w:t>
      </w:r>
      <w:r w:rsidR="00F36427">
        <w:t>y</w:t>
      </w:r>
      <w:r w:rsidR="0008008A" w:rsidRPr="0008008A">
        <w:t xml:space="preserve"> among the population needing eye health interventions</w:t>
      </w:r>
      <w:r w:rsidR="00F36427">
        <w:t xml:space="preserve"> and the rate of eye health problems among </w:t>
      </w:r>
      <w:r w:rsidR="00E626C7">
        <w:t>persons with disabilities</w:t>
      </w:r>
      <w:r w:rsidR="0008008A" w:rsidRPr="0008008A">
        <w:t>.</w:t>
      </w:r>
      <w:r w:rsidR="00056296">
        <w:t xml:space="preserve"> This </w:t>
      </w:r>
      <w:r w:rsidR="003B406D">
        <w:t xml:space="preserve">data </w:t>
      </w:r>
      <w:r w:rsidR="00056296">
        <w:t xml:space="preserve">is important </w:t>
      </w:r>
      <w:r w:rsidR="005924AB">
        <w:t xml:space="preserve">for </w:t>
      </w:r>
      <w:r w:rsidR="00C6420B">
        <w:t xml:space="preserve">determining health resource </w:t>
      </w:r>
      <w:r w:rsidR="00CF6C54">
        <w:t xml:space="preserve">allocations </w:t>
      </w:r>
      <w:r w:rsidR="00C6420B">
        <w:t xml:space="preserve">and </w:t>
      </w:r>
      <w:r w:rsidR="00A93CC0">
        <w:t xml:space="preserve">informing the design of disability inclusion measures, as well as helping to generate commitment among eye health stakeholders to make services more inclusive. </w:t>
      </w:r>
      <w:r w:rsidR="00000130">
        <w:t xml:space="preserve">It </w:t>
      </w:r>
      <w:r w:rsidR="00E626C7" w:rsidRPr="00E626C7">
        <w:t xml:space="preserve">is </w:t>
      </w:r>
      <w:r w:rsidR="00000130">
        <w:t>also</w:t>
      </w:r>
      <w:r w:rsidR="00545346">
        <w:t xml:space="preserve"> key</w:t>
      </w:r>
      <w:r w:rsidR="00000130">
        <w:t xml:space="preserve"> </w:t>
      </w:r>
      <w:r w:rsidR="00E626C7" w:rsidRPr="00E626C7">
        <w:t xml:space="preserve">to </w:t>
      </w:r>
      <w:r w:rsidR="00000130">
        <w:t xml:space="preserve">understanding existing </w:t>
      </w:r>
      <w:r w:rsidR="00E626C7">
        <w:t xml:space="preserve">eye health inequalities </w:t>
      </w:r>
      <w:r w:rsidR="00000130">
        <w:t xml:space="preserve">and for monitoring changes over time </w:t>
      </w:r>
      <w:r w:rsidR="00AF5255">
        <w:t>(i.e.</w:t>
      </w:r>
      <w:r w:rsidR="00A26FAA">
        <w:t>,</w:t>
      </w:r>
      <w:r w:rsidR="00AF5255">
        <w:t xml:space="preserve"> </w:t>
      </w:r>
      <w:r w:rsidR="00A26FAA">
        <w:t xml:space="preserve">where disability inclusion measures are implemented, </w:t>
      </w:r>
      <w:r w:rsidR="00AF5255" w:rsidRPr="00AF5255">
        <w:t xml:space="preserve">we would expect to see </w:t>
      </w:r>
      <w:r w:rsidR="007963CA">
        <w:t xml:space="preserve">a closing of </w:t>
      </w:r>
      <w:r w:rsidR="00AF5255" w:rsidRPr="00AF5255">
        <w:t>the gap between persons with and wit</w:t>
      </w:r>
      <w:r w:rsidR="00A26FAA">
        <w:t>h</w:t>
      </w:r>
      <w:r w:rsidR="00AF5255" w:rsidRPr="00AF5255">
        <w:t>out disabilities in eye health outcomes</w:t>
      </w:r>
      <w:r w:rsidR="00A26FAA">
        <w:t xml:space="preserve"> over time)</w:t>
      </w:r>
      <w:r w:rsidR="007963CA">
        <w:t>.</w:t>
      </w:r>
    </w:p>
    <w:p w14:paraId="2F4CE678" w14:textId="63F02254" w:rsidR="00E626C7" w:rsidRDefault="00146EB2" w:rsidP="0095721D">
      <w:r>
        <w:t>In the absence of eye health</w:t>
      </w:r>
      <w:r w:rsidR="007F67D5">
        <w:t xml:space="preserve">-specific data, </w:t>
      </w:r>
      <w:r w:rsidR="007F67D5" w:rsidRPr="00753A2E">
        <w:rPr>
          <w:b/>
          <w:bCs/>
        </w:rPr>
        <w:t>g</w:t>
      </w:r>
      <w:r w:rsidRPr="00753A2E">
        <w:rPr>
          <w:b/>
          <w:bCs/>
        </w:rPr>
        <w:t>eneral data on disability prevalence</w:t>
      </w:r>
      <w:r>
        <w:t xml:space="preserve"> within a population is also </w:t>
      </w:r>
      <w:r w:rsidR="007F67D5">
        <w:t>relevant. Given that</w:t>
      </w:r>
      <w:r w:rsidR="00E626C7" w:rsidRPr="00E626C7">
        <w:t xml:space="preserve"> persons with disabilities </w:t>
      </w:r>
      <w:r w:rsidR="00532A70">
        <w:t xml:space="preserve">are </w:t>
      </w:r>
      <w:r w:rsidR="00E626C7" w:rsidRPr="00E626C7">
        <w:t>more likely to have eye health problem</w:t>
      </w:r>
      <w:r w:rsidR="00532A70">
        <w:t xml:space="preserve">s, while also </w:t>
      </w:r>
      <w:r w:rsidR="007F67D5">
        <w:t xml:space="preserve">facing additional barriers to accessing </w:t>
      </w:r>
      <w:r w:rsidR="000D5B00">
        <w:t>health services,</w:t>
      </w:r>
      <w:r w:rsidR="00E53AD3">
        <w:t xml:space="preserve"> disability prevalence data may be used to inform resource planning</w:t>
      </w:r>
      <w:r w:rsidR="00DC47F8">
        <w:t xml:space="preserve"> or advocacy for inclusive health services.</w:t>
      </w:r>
      <w:r w:rsidR="00A802CB">
        <w:t xml:space="preserve"> </w:t>
      </w:r>
      <w:r w:rsidR="00DC47F8">
        <w:t xml:space="preserve">However, </w:t>
      </w:r>
      <w:r w:rsidR="00EF3B95">
        <w:t xml:space="preserve">while this can inform advocacy or </w:t>
      </w:r>
      <w:r w:rsidR="007C2DFE">
        <w:t xml:space="preserve">planning, it </w:t>
      </w:r>
      <w:r w:rsidR="0015298C">
        <w:t>does not give a full picture of the eye health needs of persons with disabilities</w:t>
      </w:r>
      <w:r w:rsidR="00E0572F">
        <w:t>:</w:t>
      </w:r>
      <w:r w:rsidR="0015298C">
        <w:t xml:space="preserve"> </w:t>
      </w:r>
      <w:r w:rsidR="009B37F9">
        <w:t xml:space="preserve">it is clear from the literature that rates of eye health problems </w:t>
      </w:r>
      <w:r w:rsidR="00EF3B95">
        <w:t xml:space="preserve">and access to services </w:t>
      </w:r>
      <w:r w:rsidR="009B37F9">
        <w:t>among persons with disabilities vary significant across contexts</w:t>
      </w:r>
      <w:r w:rsidR="00E626C7" w:rsidRPr="00E626C7">
        <w:t>.</w:t>
      </w:r>
    </w:p>
    <w:p w14:paraId="484C15CC" w14:textId="722F7957" w:rsidR="0095721D" w:rsidRDefault="000D6BE9" w:rsidP="0095721D">
      <w:r>
        <w:t xml:space="preserve">Beyond prevalence </w:t>
      </w:r>
      <w:r w:rsidR="008E727C">
        <w:t>data</w:t>
      </w:r>
      <w:r w:rsidR="00B312F7">
        <w:t xml:space="preserve">, </w:t>
      </w:r>
      <w:r>
        <w:t>population</w:t>
      </w:r>
      <w:r w:rsidR="008E727C">
        <w:t>-level</w:t>
      </w:r>
      <w:r>
        <w:t xml:space="preserve"> data </w:t>
      </w:r>
      <w:r w:rsidR="00257BA7">
        <w:t xml:space="preserve">on the </w:t>
      </w:r>
      <w:r w:rsidR="00C20404" w:rsidRPr="00B4411E">
        <w:rPr>
          <w:b/>
          <w:bCs/>
        </w:rPr>
        <w:t xml:space="preserve">barriers </w:t>
      </w:r>
      <w:r w:rsidR="008E727C" w:rsidRPr="00B4411E">
        <w:rPr>
          <w:b/>
          <w:bCs/>
        </w:rPr>
        <w:t xml:space="preserve">to accessing eye health services </w:t>
      </w:r>
      <w:r w:rsidR="00257BA7">
        <w:rPr>
          <w:b/>
          <w:bCs/>
        </w:rPr>
        <w:t>for persons with d</w:t>
      </w:r>
      <w:r w:rsidR="006A0466">
        <w:rPr>
          <w:b/>
          <w:bCs/>
        </w:rPr>
        <w:t xml:space="preserve">isabilities </w:t>
      </w:r>
      <w:r w:rsidR="008E727C" w:rsidRPr="00B4411E">
        <w:rPr>
          <w:b/>
          <w:bCs/>
        </w:rPr>
        <w:t xml:space="preserve">and any </w:t>
      </w:r>
      <w:r w:rsidR="00B4411E" w:rsidRPr="00B4411E">
        <w:rPr>
          <w:b/>
          <w:bCs/>
        </w:rPr>
        <w:t>support requirements that persons with disabilities may require</w:t>
      </w:r>
      <w:r w:rsidR="006A0466">
        <w:rPr>
          <w:b/>
          <w:bCs/>
        </w:rPr>
        <w:t xml:space="preserve"> </w:t>
      </w:r>
      <w:r w:rsidR="006A0466">
        <w:t xml:space="preserve">is also </w:t>
      </w:r>
      <w:r w:rsidR="00663042">
        <w:t xml:space="preserve">important for </w:t>
      </w:r>
      <w:r w:rsidR="00835F5A">
        <w:t xml:space="preserve">the </w:t>
      </w:r>
      <w:r w:rsidR="00937EBD">
        <w:t xml:space="preserve">budgeting, </w:t>
      </w:r>
      <w:r w:rsidR="00847860">
        <w:t xml:space="preserve">planning </w:t>
      </w:r>
      <w:r w:rsidR="00847860" w:rsidRPr="00847860">
        <w:t>and</w:t>
      </w:r>
      <w:r w:rsidR="00847860">
        <w:t xml:space="preserve"> </w:t>
      </w:r>
      <w:r w:rsidR="00663042" w:rsidRPr="00847860">
        <w:t>design</w:t>
      </w:r>
      <w:r w:rsidR="00835F5A">
        <w:t xml:space="preserve"> of disability-inclusive eye health services</w:t>
      </w:r>
      <w:r w:rsidR="00B4411E">
        <w:t>.</w:t>
      </w:r>
      <w:r w:rsidR="00C20404">
        <w:t xml:space="preserve"> </w:t>
      </w:r>
      <w:r w:rsidR="00943F61">
        <w:t xml:space="preserve">Such data may come from a mix of sources, </w:t>
      </w:r>
      <w:r w:rsidR="00943F61">
        <w:lastRenderedPageBreak/>
        <w:t>including population surveys, facility assessments or audits</w:t>
      </w:r>
      <w:r w:rsidR="00835F5A">
        <w:t xml:space="preserve">, and interviews or focus group discussions. </w:t>
      </w:r>
      <w:r w:rsidR="005E46C9">
        <w:t xml:space="preserve">Population data from outside of the eye health sector may also be relevant. For example, data on persons with disabilities’ functional difficulties, differential health outcomes, educational attainment, support requirements and use of assistive technologies </w:t>
      </w:r>
      <w:r w:rsidR="00A97524">
        <w:t xml:space="preserve">is </w:t>
      </w:r>
      <w:r w:rsidR="005E46C9">
        <w:t xml:space="preserve">available in many countries and can inform approaches to inclusion in eye health. </w:t>
      </w:r>
    </w:p>
    <w:p w14:paraId="13933DBC" w14:textId="1706012D" w:rsidR="000E6AA0" w:rsidRDefault="00153771" w:rsidP="0095721D">
      <w:r w:rsidRPr="00835F5A">
        <w:rPr>
          <w:b/>
          <w:bCs/>
        </w:rPr>
        <w:t>D</w:t>
      </w:r>
      <w:r w:rsidR="00CD362C" w:rsidRPr="00835F5A">
        <w:rPr>
          <w:b/>
          <w:bCs/>
        </w:rPr>
        <w:t>isability-disaggregated facility data</w:t>
      </w:r>
      <w:r w:rsidR="00CD362C">
        <w:t xml:space="preserve"> </w:t>
      </w:r>
      <w:r>
        <w:t xml:space="preserve">is essential to monitoring access to services by persons with disabilities. However, where this is collected without comparable </w:t>
      </w:r>
      <w:r w:rsidR="0093674A">
        <w:t>population data</w:t>
      </w:r>
      <w:r>
        <w:t>,</w:t>
      </w:r>
      <w:r w:rsidR="0093674A">
        <w:t xml:space="preserve"> </w:t>
      </w:r>
      <w:r w:rsidR="006C4A72">
        <w:t>the interpretation of this data is difficult. E</w:t>
      </w:r>
      <w:r w:rsidR="009D36C7">
        <w:t xml:space="preserve">ye health stakeholders </w:t>
      </w:r>
      <w:r>
        <w:t>may</w:t>
      </w:r>
      <w:r w:rsidR="003E3882">
        <w:t xml:space="preserve"> remain </w:t>
      </w:r>
      <w:r w:rsidR="009D36C7">
        <w:t xml:space="preserve">unaware of </w:t>
      </w:r>
      <w:r w:rsidR="00C17536">
        <w:t xml:space="preserve">the extent to which persons with disabilities are </w:t>
      </w:r>
      <w:r w:rsidR="00C17536" w:rsidRPr="00C17536">
        <w:rPr>
          <w:u w:val="single"/>
        </w:rPr>
        <w:t>not</w:t>
      </w:r>
      <w:r w:rsidR="00C17536">
        <w:t xml:space="preserve"> accessing their services, or whether the </w:t>
      </w:r>
      <w:r w:rsidR="002D0674">
        <w:t xml:space="preserve">numbers </w:t>
      </w:r>
      <w:r w:rsidR="001B6B23">
        <w:t xml:space="preserve">of persons with disabilities </w:t>
      </w:r>
      <w:r w:rsidR="002D0674">
        <w:t xml:space="preserve">accessing their services </w:t>
      </w:r>
      <w:r w:rsidR="001B6B23">
        <w:t>reflect the full extent of eye health need in the population.</w:t>
      </w:r>
      <w:r w:rsidR="005D371D">
        <w:t xml:space="preserve"> This is a fundamental gap from a rights-based perspective on disability inclusion</w:t>
      </w:r>
      <w:r w:rsidR="00D75A4F">
        <w:t>.</w:t>
      </w:r>
      <w:r w:rsidR="00D95C92">
        <w:t xml:space="preserve"> </w:t>
      </w:r>
      <w:r w:rsidR="00252FC2">
        <w:t>(</w:t>
      </w:r>
      <w:r w:rsidR="003B42B9">
        <w:t>A</w:t>
      </w:r>
      <w:r w:rsidR="00252FC2">
        <w:t xml:space="preserve">lthough </w:t>
      </w:r>
      <w:r w:rsidR="003B42B9">
        <w:t xml:space="preserve">it is noted that </w:t>
      </w:r>
      <w:r w:rsidR="00AA6E24">
        <w:t>there may still be context</w:t>
      </w:r>
      <w:r w:rsidR="003B42B9">
        <w:t>-specific</w:t>
      </w:r>
      <w:r w:rsidR="00AA6E24">
        <w:t xml:space="preserve"> rationale</w:t>
      </w:r>
      <w:r w:rsidR="003B42B9">
        <w:t>s</w:t>
      </w:r>
      <w:r w:rsidR="00AA6E24">
        <w:t xml:space="preserve"> for </w:t>
      </w:r>
      <w:r w:rsidR="003B42B9">
        <w:t xml:space="preserve">prioritising collection of this </w:t>
      </w:r>
      <w:r w:rsidR="00AA6E24">
        <w:t xml:space="preserve">type of data </w:t>
      </w:r>
      <w:r w:rsidR="00011CAB">
        <w:t xml:space="preserve">– e.g., demand from a service provider to </w:t>
      </w:r>
      <w:r w:rsidR="00A54F8A">
        <w:t xml:space="preserve">monitor access </w:t>
      </w:r>
      <w:r w:rsidR="004F64C0">
        <w:t>to their service by persons with disabilities</w:t>
      </w:r>
      <w:r w:rsidR="00AA6E24">
        <w:t>.</w:t>
      </w:r>
      <w:r w:rsidR="006F03C6">
        <w:t>)</w:t>
      </w:r>
    </w:p>
    <w:p w14:paraId="5C67DA96" w14:textId="24DCF35E" w:rsidR="00A266AF" w:rsidRDefault="00E827B6" w:rsidP="0095721D">
      <w:r>
        <w:t xml:space="preserve">Some potentially underutilised </w:t>
      </w:r>
      <w:r w:rsidR="00560192">
        <w:t>s</w:t>
      </w:r>
      <w:r w:rsidR="00CE3FEB">
        <w:t xml:space="preserve">ources of disability data </w:t>
      </w:r>
      <w:r>
        <w:t xml:space="preserve">– that is, </w:t>
      </w:r>
      <w:r w:rsidR="00CC0E53">
        <w:t xml:space="preserve">sources for which no or few examples were found </w:t>
      </w:r>
      <w:r w:rsidR="000863AA">
        <w:t xml:space="preserve">in the </w:t>
      </w:r>
      <w:r w:rsidR="002A0570">
        <w:t xml:space="preserve">literature or key informant interviews </w:t>
      </w:r>
      <w:r w:rsidR="00CC0E53">
        <w:t xml:space="preserve">– </w:t>
      </w:r>
      <w:r w:rsidR="002A0570">
        <w:t>include:</w:t>
      </w:r>
    </w:p>
    <w:p w14:paraId="493CC71F" w14:textId="7E816ED0" w:rsidR="001D27C7" w:rsidRPr="001D27C7" w:rsidRDefault="001D27C7" w:rsidP="002A0570">
      <w:pPr>
        <w:pStyle w:val="ListParagraph"/>
      </w:pPr>
      <w:r w:rsidRPr="00002C7C">
        <w:rPr>
          <w:b/>
          <w:bCs/>
        </w:rPr>
        <w:t>Qualitative data</w:t>
      </w:r>
      <w:r w:rsidR="00CC0E53" w:rsidRPr="00002C7C">
        <w:rPr>
          <w:b/>
          <w:bCs/>
        </w:rPr>
        <w:t xml:space="preserve"> </w:t>
      </w:r>
      <w:r w:rsidR="00002C7C">
        <w:rPr>
          <w:b/>
          <w:bCs/>
        </w:rPr>
        <w:t xml:space="preserve">of </w:t>
      </w:r>
      <w:r w:rsidR="00F0620B" w:rsidRPr="00002C7C">
        <w:rPr>
          <w:b/>
          <w:bCs/>
        </w:rPr>
        <w:t>persons with disabilities</w:t>
      </w:r>
      <w:r w:rsidR="00F0620B">
        <w:t xml:space="preserve"> </w:t>
      </w:r>
      <w:r w:rsidR="00046BBA">
        <w:t xml:space="preserve">– Although qualitative data is being collected as part of situation analyses, evaluations and research, </w:t>
      </w:r>
      <w:r w:rsidR="003D0653">
        <w:t xml:space="preserve">the nature and relevance of such data was not </w:t>
      </w:r>
      <w:r w:rsidR="003D1274">
        <w:t>explained in the literature or key informant interviews. Experience from the general development and humanitarian sector suggests that t</w:t>
      </w:r>
      <w:r>
        <w:t>hese are very useful sources of disability data that can help identify barriers to inclusion</w:t>
      </w:r>
      <w:r w:rsidR="00002C7C">
        <w:t xml:space="preserve"> and</w:t>
      </w:r>
      <w:r w:rsidR="003D1274">
        <w:t xml:space="preserve"> the types of </w:t>
      </w:r>
      <w:r w:rsidR="00002C7C">
        <w:t xml:space="preserve">supports or accommodations that may be </w:t>
      </w:r>
      <w:proofErr w:type="gramStart"/>
      <w:r w:rsidR="00002C7C">
        <w:t>required,</w:t>
      </w:r>
      <w:r>
        <w:t xml:space="preserve"> and</w:t>
      </w:r>
      <w:proofErr w:type="gramEnd"/>
      <w:r>
        <w:t xml:space="preserve"> explain the causes of inequities picked up through other data sources. They can also be targeted towards more marginalised population groups whose experiences of eye health might not be reflected in other data sources.</w:t>
      </w:r>
    </w:p>
    <w:p w14:paraId="7271FE0E" w14:textId="0352E7D9" w:rsidR="002A0570" w:rsidRDefault="002A0570" w:rsidP="002A0570">
      <w:pPr>
        <w:pStyle w:val="ListParagraph"/>
      </w:pPr>
      <w:r w:rsidRPr="00015D13">
        <w:rPr>
          <w:b/>
          <w:bCs/>
        </w:rPr>
        <w:t>Administrative data</w:t>
      </w:r>
      <w:r>
        <w:t xml:space="preserve"> – despite health facility administrative data being </w:t>
      </w:r>
      <w:r w:rsidR="00002C7C">
        <w:t xml:space="preserve">recognised by WHO as </w:t>
      </w:r>
      <w:r>
        <w:t>an important source of data for a range of health system strengthening indicators,</w:t>
      </w:r>
      <w:r w:rsidR="00002C7C">
        <w:rPr>
          <w:rStyle w:val="EndnoteReference"/>
        </w:rPr>
        <w:endnoteReference w:id="11"/>
      </w:r>
      <w:r>
        <w:t xml:space="preserve"> it was scarcely mentioned in the literature</w:t>
      </w:r>
      <w:r w:rsidR="00002C7C">
        <w:t xml:space="preserve"> or key informant interviews</w:t>
      </w:r>
      <w:r>
        <w:t xml:space="preserve"> as a source for </w:t>
      </w:r>
      <w:r w:rsidR="00112556">
        <w:t xml:space="preserve">data on </w:t>
      </w:r>
      <w:r>
        <w:t xml:space="preserve">disability inclusion. </w:t>
      </w:r>
      <w:r w:rsidR="00112556">
        <w:t>Administrative data is often already being collected and managed by health institutions, and could potentially</w:t>
      </w:r>
      <w:r>
        <w:t xml:space="preserve"> include, for example, data on number of personnel trained, budget allocation, accessibility measures and a range of other indicators relevant to disability inclusion.</w:t>
      </w:r>
    </w:p>
    <w:p w14:paraId="6450E631" w14:textId="299CA5C2" w:rsidR="002A0570" w:rsidRDefault="002A0570" w:rsidP="002A0570">
      <w:pPr>
        <w:pStyle w:val="ListParagraph"/>
      </w:pPr>
      <w:r w:rsidRPr="006719EA">
        <w:rPr>
          <w:b/>
          <w:bCs/>
        </w:rPr>
        <w:t>Follow-up surveys</w:t>
      </w:r>
      <w:r>
        <w:t xml:space="preserve"> –</w:t>
      </w:r>
      <w:r w:rsidR="00112556">
        <w:t xml:space="preserve"> </w:t>
      </w:r>
      <w:r>
        <w:t xml:space="preserve">examples of surveys that aim to measure changes in health outcomes or quality of life </w:t>
      </w:r>
      <w:proofErr w:type="gramStart"/>
      <w:r>
        <w:t>as a result of</w:t>
      </w:r>
      <w:proofErr w:type="gramEnd"/>
      <w:r>
        <w:t xml:space="preserve"> eye health interventions were not found in the </w:t>
      </w:r>
      <w:r w:rsidR="000238CD">
        <w:t>l</w:t>
      </w:r>
      <w:r>
        <w:t>iterature</w:t>
      </w:r>
      <w:r w:rsidR="00112556">
        <w:t xml:space="preserve"> or key informant interviews</w:t>
      </w:r>
      <w:r>
        <w:t>.</w:t>
      </w:r>
      <w:r w:rsidR="00112556">
        <w:t xml:space="preserve"> These could potentially be</w:t>
      </w:r>
      <w:r w:rsidR="00D7344E">
        <w:t xml:space="preserve"> done as part of evaluations, impact assessments, learning reviews or research where </w:t>
      </w:r>
      <w:r w:rsidR="00134DC0">
        <w:t>the medium-term health and social impacts of eye health interventions could be tracked for persons with and without disabilities.</w:t>
      </w:r>
    </w:p>
    <w:p w14:paraId="20675CF6" w14:textId="6AAF4A3E" w:rsidR="002A0570" w:rsidRDefault="002A0570" w:rsidP="000238CD">
      <w:pPr>
        <w:pStyle w:val="ListParagraph"/>
      </w:pPr>
      <w:r w:rsidRPr="00841D15">
        <w:rPr>
          <w:b/>
          <w:bCs/>
        </w:rPr>
        <w:t>Feedback mechanisms</w:t>
      </w:r>
      <w:r>
        <w:t xml:space="preserve"> – </w:t>
      </w:r>
      <w:r w:rsidR="00134DC0" w:rsidRPr="00134DC0">
        <w:t xml:space="preserve">despite feedback mechanisms being a common element of health facility assessment processes, there was no mention of </w:t>
      </w:r>
      <w:r w:rsidR="00134DC0">
        <w:t xml:space="preserve">these </w:t>
      </w:r>
      <w:r w:rsidR="00134DC0" w:rsidRPr="00134DC0">
        <w:t xml:space="preserve">in relation to disability in the literature and </w:t>
      </w:r>
      <w:r w:rsidR="00134DC0">
        <w:t>key informant interviews</w:t>
      </w:r>
      <w:r>
        <w:t xml:space="preserve">. Feedback mechanisms </w:t>
      </w:r>
      <w:r w:rsidR="0027691E">
        <w:t xml:space="preserve">are a potential source of information </w:t>
      </w:r>
      <w:r w:rsidR="000238CD">
        <w:t>about persons with disabilities’ experiences of engaging with health services. In order to capture this, they</w:t>
      </w:r>
      <w:r w:rsidR="0027691E">
        <w:t xml:space="preserve"> </w:t>
      </w:r>
      <w:r>
        <w:t xml:space="preserve">must be </w:t>
      </w:r>
      <w:proofErr w:type="gramStart"/>
      <w:r>
        <w:t>accessible</w:t>
      </w:r>
      <w:proofErr w:type="gramEnd"/>
      <w:r>
        <w:t xml:space="preserve"> and consideration could be given to deliberately encouraging feedback from persons with disabilities in order to further improve services. </w:t>
      </w:r>
    </w:p>
    <w:p w14:paraId="1ED31865" w14:textId="6BA5313C" w:rsidR="003F3BDA" w:rsidRPr="003F3BDA" w:rsidRDefault="003C4F50" w:rsidP="00226B27">
      <w:pPr>
        <w:pStyle w:val="Heading2"/>
        <w:numPr>
          <w:ilvl w:val="1"/>
          <w:numId w:val="15"/>
        </w:numPr>
      </w:pPr>
      <w:bookmarkStart w:id="9" w:name="_Toc135388369"/>
      <w:r>
        <w:lastRenderedPageBreak/>
        <w:t>D</w:t>
      </w:r>
      <w:r w:rsidR="003F3BDA">
        <w:t>isaggregati</w:t>
      </w:r>
      <w:r>
        <w:t>ng data by disability</w:t>
      </w:r>
      <w:bookmarkEnd w:id="9"/>
    </w:p>
    <w:p w14:paraId="10A2C375" w14:textId="1445F233" w:rsidR="003E18A8" w:rsidRDefault="003E18A8" w:rsidP="003E18A8">
      <w:pPr>
        <w:pStyle w:val="Heading3"/>
        <w:numPr>
          <w:ilvl w:val="2"/>
          <w:numId w:val="15"/>
        </w:numPr>
      </w:pPr>
      <w:r>
        <w:t>Findings</w:t>
      </w:r>
    </w:p>
    <w:p w14:paraId="35972AD3" w14:textId="19CEDD30" w:rsidR="00B90922" w:rsidRDefault="00CC4415" w:rsidP="00C124A1">
      <w:r>
        <w:t>Disability data disaggregation (DDD)</w:t>
      </w:r>
      <w:r w:rsidR="00C124A1">
        <w:t xml:space="preserve"> involves identifying the individuals within a dataset who have a disability, so that </w:t>
      </w:r>
      <w:r w:rsidR="00D14AFA">
        <w:t xml:space="preserve">data against </w:t>
      </w:r>
      <w:r w:rsidR="008E74A5">
        <w:t xml:space="preserve">other </w:t>
      </w:r>
      <w:r w:rsidR="00D14AFA">
        <w:t xml:space="preserve">indicators or measures in that dataset </w:t>
      </w:r>
      <w:r w:rsidR="008E74A5">
        <w:t xml:space="preserve">can be </w:t>
      </w:r>
      <w:r w:rsidR="00413DB9">
        <w:t>analysed for both persons with disabilities and persons without disabilities.</w:t>
      </w:r>
      <w:r w:rsidR="00B90922">
        <w:t xml:space="preserve"> For example, rates of CSC among persons with and without disabilities can be compared; or access to refractive error services can be compared.</w:t>
      </w:r>
      <w:r w:rsidR="00413DB9">
        <w:t xml:space="preserve"> </w:t>
      </w:r>
    </w:p>
    <w:p w14:paraId="06386684" w14:textId="2897AACD" w:rsidR="00C230C4" w:rsidRDefault="00C230C4" w:rsidP="00C124A1">
      <w:r>
        <w:t xml:space="preserve">In the eye health sector, </w:t>
      </w:r>
      <w:r w:rsidR="009005D5">
        <w:t xml:space="preserve">literature and key informants report </w:t>
      </w:r>
      <w:r>
        <w:t xml:space="preserve">that </w:t>
      </w:r>
      <w:r w:rsidR="0066719C">
        <w:t>disability data is being disaggregated by:</w:t>
      </w:r>
    </w:p>
    <w:p w14:paraId="63C3332A" w14:textId="22A82464" w:rsidR="0066719C" w:rsidRDefault="00800A6D" w:rsidP="00032C4C">
      <w:pPr>
        <w:pStyle w:val="ListParagraph"/>
      </w:pPr>
      <w:r w:rsidRPr="003855C9">
        <w:rPr>
          <w:b/>
          <w:bCs/>
        </w:rPr>
        <w:t>Self-assessment of functioning</w:t>
      </w:r>
      <w:r>
        <w:t xml:space="preserve"> </w:t>
      </w:r>
      <w:r w:rsidR="0066719C">
        <w:t xml:space="preserve">– </w:t>
      </w:r>
      <w:r w:rsidR="006A0B1D">
        <w:t xml:space="preserve">this has emerged as the most common and widely recommended approach to DDD in the eye health sector, reflecting the </w:t>
      </w:r>
      <w:r w:rsidR="003855C9">
        <w:t xml:space="preserve">wider consensus </w:t>
      </w:r>
      <w:r w:rsidR="00ED506D">
        <w:t xml:space="preserve">on disability data (see discussion below) </w:t>
      </w:r>
      <w:proofErr w:type="gramStart"/>
      <w:r w:rsidR="003855C9">
        <w:t>and also</w:t>
      </w:r>
      <w:proofErr w:type="gramEnd"/>
      <w:r w:rsidR="003855C9">
        <w:t xml:space="preserve"> the experience in the development and humanitarian sectors. </w:t>
      </w:r>
      <w:r w:rsidR="00687410">
        <w:t xml:space="preserve">This involves </w:t>
      </w:r>
      <w:r w:rsidR="001960F0">
        <w:t xml:space="preserve">data enumerators asking each respondent or patient a set of questions about difficulties they have in </w:t>
      </w:r>
      <w:r w:rsidR="00D43D4F">
        <w:t xml:space="preserve">tasks such as moving around, seeing, hearing, communicating, understanding and washing themselves. </w:t>
      </w:r>
      <w:r w:rsidR="00715B8D">
        <w:t xml:space="preserve">There are various question sets, ranging from 1 to 48 questions – with the longer </w:t>
      </w:r>
      <w:r w:rsidR="00BC5D9B">
        <w:t>ones capturing a more complete range of the types of difficulties that may lead to disability</w:t>
      </w:r>
      <w:r w:rsidR="002F2605">
        <w:t xml:space="preserve">, and therefore being </w:t>
      </w:r>
      <w:r w:rsidR="00BC67A1">
        <w:t>more accurate and inclusive of the full spectrum of disability</w:t>
      </w:r>
      <w:r w:rsidR="00BC5D9B">
        <w:t>.</w:t>
      </w:r>
      <w:r w:rsidR="00BC67A1">
        <w:t xml:space="preserve"> The </w:t>
      </w:r>
      <w:r w:rsidR="00637A2D">
        <w:t>most widely used question sets on functioning used within the eye health sector</w:t>
      </w:r>
      <w:r w:rsidR="00F424A3">
        <w:t xml:space="preserve"> (</w:t>
      </w:r>
      <w:r w:rsidR="00D549E5">
        <w:t>and in national statistical data and in the development and humanitarian sector)</w:t>
      </w:r>
      <w:r w:rsidR="00637A2D">
        <w:t xml:space="preserve"> are those developed by the </w:t>
      </w:r>
      <w:r w:rsidR="00637A2D" w:rsidRPr="00637A2D">
        <w:t>Washington Group on Disability Statistics</w:t>
      </w:r>
      <w:r w:rsidR="00637A2D">
        <w:t xml:space="preserve"> (WG</w:t>
      </w:r>
      <w:r w:rsidR="00FC1837">
        <w:t xml:space="preserve">). </w:t>
      </w:r>
      <w:r w:rsidR="00C16862">
        <w:t xml:space="preserve">The </w:t>
      </w:r>
      <w:proofErr w:type="gramStart"/>
      <w:r w:rsidR="00C16862">
        <w:t>most commonly used</w:t>
      </w:r>
      <w:proofErr w:type="gramEnd"/>
      <w:r w:rsidR="00C16862">
        <w:t xml:space="preserve"> question sets</w:t>
      </w:r>
      <w:r w:rsidR="00CE3FB9">
        <w:rPr>
          <w:rStyle w:val="EndnoteReference"/>
        </w:rPr>
        <w:endnoteReference w:id="12"/>
      </w:r>
      <w:r w:rsidR="00C16862">
        <w:t xml:space="preserve"> in the eye health sector are:</w:t>
      </w:r>
    </w:p>
    <w:p w14:paraId="460ECB82" w14:textId="7DBF2AC9" w:rsidR="003F3BDA" w:rsidRDefault="00C16862" w:rsidP="00C16862">
      <w:pPr>
        <w:pStyle w:val="ListParagraph"/>
        <w:numPr>
          <w:ilvl w:val="1"/>
          <w:numId w:val="5"/>
        </w:numPr>
      </w:pPr>
      <w:r w:rsidRPr="00B51369">
        <w:rPr>
          <w:b/>
          <w:bCs/>
        </w:rPr>
        <w:t>Washington Group Short Set (WG-SS)</w:t>
      </w:r>
      <w:r>
        <w:t xml:space="preserve"> (6 questions)</w:t>
      </w:r>
      <w:r w:rsidR="00B51369">
        <w:t xml:space="preserve"> – this is the shortest set of WG questions</w:t>
      </w:r>
      <w:r w:rsidR="007D347A">
        <w:t xml:space="preserve">. </w:t>
      </w:r>
      <w:r w:rsidR="00102706">
        <w:t xml:space="preserve">It is designed to relatively accurately identify </w:t>
      </w:r>
      <w:r w:rsidR="00415FE4">
        <w:t xml:space="preserve">persons with disabilities within data collection, whilst being </w:t>
      </w:r>
      <w:r w:rsidR="007E65DF">
        <w:t>reasonably simple to implement</w:t>
      </w:r>
      <w:r w:rsidR="008558EB">
        <w:t xml:space="preserve"> (e.g. in national censuses</w:t>
      </w:r>
      <w:r w:rsidR="004C2ECD">
        <w:t>,</w:t>
      </w:r>
      <w:r w:rsidR="008558EB">
        <w:t xml:space="preserve"> </w:t>
      </w:r>
      <w:r w:rsidR="004C2ECD">
        <w:t xml:space="preserve">for which it was originally designed, </w:t>
      </w:r>
      <w:r w:rsidR="008558EB">
        <w:t>where every person in a country is surveyed)</w:t>
      </w:r>
      <w:r w:rsidR="007E65DF">
        <w:t>.</w:t>
      </w:r>
      <w:r w:rsidR="006F0653">
        <w:t xml:space="preserve"> Eye health facilities have found it can take 2-5 minutes to administer the 6 questions</w:t>
      </w:r>
      <w:r w:rsidR="00FD5F94">
        <w:t xml:space="preserve"> (in statistical data collection</w:t>
      </w:r>
      <w:r w:rsidR="007E65DF">
        <w:t xml:space="preserve"> </w:t>
      </w:r>
      <w:r w:rsidR="006F60F3">
        <w:t xml:space="preserve">it has been found to take 40-90 seconds). </w:t>
      </w:r>
      <w:r w:rsidR="007E65DF">
        <w:t>It has been tested and validated in dozens of countries and translated into many languages.</w:t>
      </w:r>
      <w:r w:rsidR="001812C5">
        <w:t xml:space="preserve"> </w:t>
      </w:r>
      <w:r w:rsidR="0019241A">
        <w:t xml:space="preserve">There is a very clear and growing consensus around the use of the WG-SS as a preferred tool for DDD in eye health </w:t>
      </w:r>
      <w:r w:rsidR="00D42AE8">
        <w:t xml:space="preserve">contexts. </w:t>
      </w:r>
      <w:r w:rsidR="001812C5">
        <w:t xml:space="preserve">All eye health NGOs interviewed for this summary reported using the WG-SS, </w:t>
      </w:r>
      <w:r w:rsidR="001635DE">
        <w:t>it has been used in almost all studies reported in the literature, it is now included as an optional module in the RAAB, and it is integrated within many national censuses and demographic and health surveys.</w:t>
      </w:r>
      <w:r w:rsidR="00DB148E">
        <w:t xml:space="preserve"> </w:t>
      </w:r>
      <w:r w:rsidR="00FF0FD5">
        <w:t xml:space="preserve">Eye </w:t>
      </w:r>
      <w:r w:rsidR="00AF057B">
        <w:t xml:space="preserve">health organisations are typically </w:t>
      </w:r>
      <w:r w:rsidR="002166E1">
        <w:t xml:space="preserve">using the WG-SS in full and in alignment to the WG’s recommended protocols </w:t>
      </w:r>
      <w:r w:rsidR="00B82EC4">
        <w:t xml:space="preserve">– including </w:t>
      </w:r>
      <w:r w:rsidR="0093156D">
        <w:t xml:space="preserve">following </w:t>
      </w:r>
      <w:r w:rsidR="00030177">
        <w:t xml:space="preserve">guidance on translation and cognitive testing and </w:t>
      </w:r>
      <w:r w:rsidR="00B82EC4">
        <w:t xml:space="preserve">using the recommend response ‘cut off’ in analysis </w:t>
      </w:r>
      <w:r w:rsidR="0093156D">
        <w:t>(see discussion below).</w:t>
      </w:r>
    </w:p>
    <w:p w14:paraId="1FB40606" w14:textId="39BB7536" w:rsidR="004B052A" w:rsidRDefault="004B052A" w:rsidP="004B052A">
      <w:pPr>
        <w:pStyle w:val="ListParagraph"/>
        <w:numPr>
          <w:ilvl w:val="1"/>
          <w:numId w:val="5"/>
        </w:numPr>
      </w:pPr>
      <w:r w:rsidRPr="004B052A">
        <w:rPr>
          <w:b/>
          <w:bCs/>
        </w:rPr>
        <w:t>WG Short Set of Questions on Functioning – Enhanced (WG-SS Enhanced)</w:t>
      </w:r>
      <w:r>
        <w:t xml:space="preserve"> (12 questions) – This </w:t>
      </w:r>
      <w:r w:rsidR="00595AAC">
        <w:t xml:space="preserve">includes the WG-SS as well as </w:t>
      </w:r>
      <w:r w:rsidR="000B0DC7">
        <w:t xml:space="preserve">additional questions on upper body functioning and anxiety and depression. </w:t>
      </w:r>
      <w:r w:rsidR="007A6815">
        <w:t>This more accurately identifies some persons with psychosocial disabilities who may not be picked up by the WG-SS. It</w:t>
      </w:r>
      <w:r w:rsidR="00542B95">
        <w:t xml:space="preserve"> is a relatively recently developed question set, the use of which has not been documented in the eye health sector. </w:t>
      </w:r>
      <w:r w:rsidR="00AD6E11">
        <w:t>Some eye hea</w:t>
      </w:r>
      <w:r w:rsidR="00BB2DE7">
        <w:t>l</w:t>
      </w:r>
      <w:r w:rsidR="00AD6E11">
        <w:t>th and disability NGOs have however started using this a preferred question set in the humanitarian sector</w:t>
      </w:r>
      <w:r w:rsidR="00996C82">
        <w:t>.</w:t>
      </w:r>
    </w:p>
    <w:p w14:paraId="75FBA37B" w14:textId="7F18EA23" w:rsidR="00484A48" w:rsidRDefault="00484A48" w:rsidP="00484A48">
      <w:pPr>
        <w:pStyle w:val="ListParagraph"/>
        <w:numPr>
          <w:ilvl w:val="1"/>
          <w:numId w:val="5"/>
        </w:numPr>
      </w:pPr>
      <w:r w:rsidRPr="008558EB">
        <w:rPr>
          <w:b/>
          <w:bCs/>
        </w:rPr>
        <w:lastRenderedPageBreak/>
        <w:t>WG Extended Set of Questions on Functioning</w:t>
      </w:r>
      <w:r w:rsidR="00A74CE8" w:rsidRPr="008558EB">
        <w:rPr>
          <w:b/>
          <w:bCs/>
        </w:rPr>
        <w:t xml:space="preserve"> (WG-ES)</w:t>
      </w:r>
      <w:r w:rsidR="004B052A" w:rsidRPr="008558EB">
        <w:rPr>
          <w:b/>
          <w:bCs/>
        </w:rPr>
        <w:t xml:space="preserve"> </w:t>
      </w:r>
      <w:r w:rsidR="004B052A" w:rsidRPr="00C3371A">
        <w:t>(24 questions)</w:t>
      </w:r>
      <w:r w:rsidR="009F414C">
        <w:t xml:space="preserve"> – This includes the WG-SS Enhanced, </w:t>
      </w:r>
      <w:r w:rsidR="00870317">
        <w:t>as well</w:t>
      </w:r>
      <w:r w:rsidR="00D75D56">
        <w:t xml:space="preserve"> additional questions on pain and fatigue</w:t>
      </w:r>
      <w:r w:rsidR="00BB2DE7">
        <w:t xml:space="preserve"> and additional questions on </w:t>
      </w:r>
      <w:r w:rsidR="00FE554F">
        <w:t>hearing, mobility and cognition.</w:t>
      </w:r>
      <w:r w:rsidR="004F67B0">
        <w:t xml:space="preserve"> </w:t>
      </w:r>
      <w:r w:rsidR="005F10DD">
        <w:t xml:space="preserve">Both the WG-SS Enhanced and WG-ES are </w:t>
      </w:r>
      <w:r w:rsidR="004F67B0">
        <w:t xml:space="preserve">intended for use </w:t>
      </w:r>
      <w:r w:rsidR="005F10DD">
        <w:t>in population-based health or disability surveys</w:t>
      </w:r>
      <w:r w:rsidR="004C2ECD">
        <w:t xml:space="preserve"> where a more accurate understanding of </w:t>
      </w:r>
      <w:r w:rsidR="00F2054A">
        <w:t>disability and disability-related experiences is required</w:t>
      </w:r>
      <w:r w:rsidR="00134AEF">
        <w:t xml:space="preserve">. </w:t>
      </w:r>
      <w:r w:rsidR="00677A1E">
        <w:t xml:space="preserve">Some eye health NGOs </w:t>
      </w:r>
      <w:r w:rsidR="00D709B7">
        <w:t xml:space="preserve">report </w:t>
      </w:r>
      <w:r w:rsidR="00DE4163">
        <w:t>triall</w:t>
      </w:r>
      <w:r w:rsidR="00D709B7">
        <w:t>ing</w:t>
      </w:r>
      <w:r w:rsidR="00DE4163">
        <w:t xml:space="preserve"> using the WG-ES, but </w:t>
      </w:r>
      <w:r w:rsidR="00D709B7">
        <w:t>results of these trials were not reviewed.</w:t>
      </w:r>
    </w:p>
    <w:p w14:paraId="79DB4051" w14:textId="2F1DA42C" w:rsidR="00D709B7" w:rsidRDefault="00D709B7" w:rsidP="00484A48">
      <w:pPr>
        <w:pStyle w:val="ListParagraph"/>
        <w:numPr>
          <w:ilvl w:val="1"/>
          <w:numId w:val="5"/>
        </w:numPr>
      </w:pPr>
      <w:r>
        <w:rPr>
          <w:b/>
          <w:bCs/>
        </w:rPr>
        <w:t>WG/UNICEF Child Functioning Module (CFM)</w:t>
      </w:r>
      <w:r w:rsidR="00B00876">
        <w:t xml:space="preserve"> – </w:t>
      </w:r>
      <w:r w:rsidR="00FE2850">
        <w:t xml:space="preserve">the WG question sets above are designed for use among adult populations. The WG-SS has been validated for use among children </w:t>
      </w:r>
      <w:r w:rsidR="000374B0">
        <w:t>aged 5 years and older. For children aged 2-4, or for a more accurate measure of disability among children aged 5-17, the WG and UNICEF have developed the CFM. This comprises two separate question sets for ages 2-4 and 5-17</w:t>
      </w:r>
      <w:r w:rsidR="00647AC0">
        <w:t xml:space="preserve">. </w:t>
      </w:r>
      <w:r w:rsidR="00215757">
        <w:t xml:space="preserve">The CFM would be recommended </w:t>
      </w:r>
      <w:r w:rsidR="007141F3">
        <w:t xml:space="preserve">for studies looking at the eye health needs of children with disabilities. </w:t>
      </w:r>
      <w:r w:rsidR="003434A2">
        <w:t xml:space="preserve">At least one eye health organisation </w:t>
      </w:r>
      <w:r w:rsidR="00215757">
        <w:t>report</w:t>
      </w:r>
      <w:r w:rsidR="001027A2">
        <w:t>ed</w:t>
      </w:r>
      <w:r w:rsidR="00215757">
        <w:t xml:space="preserve"> trialling the CFM</w:t>
      </w:r>
      <w:r w:rsidR="00411332">
        <w:t>; however</w:t>
      </w:r>
      <w:r w:rsidR="001027A2">
        <w:t>, details of this trial were not provided</w:t>
      </w:r>
      <w:r w:rsidR="00215757">
        <w:t>.</w:t>
      </w:r>
    </w:p>
    <w:p w14:paraId="3E44C7A7" w14:textId="36AFBC87" w:rsidR="00D040AB" w:rsidRDefault="00D040AB" w:rsidP="006A0B1D">
      <w:pPr>
        <w:pStyle w:val="ListParagraph"/>
      </w:pPr>
      <w:r w:rsidRPr="000A176F">
        <w:rPr>
          <w:b/>
          <w:bCs/>
        </w:rPr>
        <w:t xml:space="preserve">Asking direct </w:t>
      </w:r>
      <w:r w:rsidR="00673BB3" w:rsidRPr="000A176F">
        <w:rPr>
          <w:b/>
          <w:bCs/>
        </w:rPr>
        <w:t xml:space="preserve">questions </w:t>
      </w:r>
      <w:r w:rsidRPr="000A176F">
        <w:rPr>
          <w:b/>
          <w:bCs/>
        </w:rPr>
        <w:t xml:space="preserve">about </w:t>
      </w:r>
      <w:r w:rsidR="00673BB3" w:rsidRPr="000A176F">
        <w:rPr>
          <w:b/>
          <w:bCs/>
        </w:rPr>
        <w:t>disability</w:t>
      </w:r>
      <w:r w:rsidR="00673BB3">
        <w:t xml:space="preserve"> –</w:t>
      </w:r>
      <w:r w:rsidR="009E683C">
        <w:t xml:space="preserve"> </w:t>
      </w:r>
      <w:r w:rsidR="005B4764">
        <w:t>this involves asking a person a direct question such as ‘Do you have a disability’</w:t>
      </w:r>
      <w:r w:rsidR="00F74FC5">
        <w:t xml:space="preserve">, or whether they have one of </w:t>
      </w:r>
      <w:proofErr w:type="gramStart"/>
      <w:r w:rsidR="00F74FC5">
        <w:t>a number of</w:t>
      </w:r>
      <w:proofErr w:type="gramEnd"/>
      <w:r w:rsidR="00F74FC5">
        <w:t xml:space="preserve"> commonly understood/legally defined categories of disability</w:t>
      </w:r>
      <w:r w:rsidR="0085698D">
        <w:t xml:space="preserve"> or impairment</w:t>
      </w:r>
      <w:r w:rsidR="00F74FC5">
        <w:t xml:space="preserve">. </w:t>
      </w:r>
      <w:r w:rsidR="000A176F">
        <w:t xml:space="preserve">This relies on the person positively identifying themselves as having a </w:t>
      </w:r>
      <w:proofErr w:type="gramStart"/>
      <w:r w:rsidR="000A176F">
        <w:t>disability, and</w:t>
      </w:r>
      <w:proofErr w:type="gramEnd"/>
      <w:r w:rsidR="000A176F">
        <w:t xml:space="preserve"> has been shown to capture </w:t>
      </w:r>
      <w:r w:rsidR="00425617">
        <w:t xml:space="preserve">only a small proportion of persons with disabilities. </w:t>
      </w:r>
      <w:proofErr w:type="gramStart"/>
      <w:r w:rsidR="00425617">
        <w:t>However</w:t>
      </w:r>
      <w:proofErr w:type="gramEnd"/>
      <w:r w:rsidR="00425617">
        <w:t xml:space="preserve"> </w:t>
      </w:r>
      <w:r w:rsidR="0074652D">
        <w:t xml:space="preserve">such questions are very quick to administer and may be required in some contexts, for example where a hospital </w:t>
      </w:r>
      <w:r w:rsidR="005D72F9">
        <w:t xml:space="preserve">needs to report on service coverage for persons </w:t>
      </w:r>
      <w:r w:rsidR="00D35F13">
        <w:t xml:space="preserve">with disabilities based on a government/legal definition of disability. There may </w:t>
      </w:r>
      <w:r w:rsidR="0085698D">
        <w:t xml:space="preserve">also be </w:t>
      </w:r>
      <w:r w:rsidR="00375A71">
        <w:t>value in asking such questions where they are already used in other relevant datasets, to enable comparison</w:t>
      </w:r>
      <w:r w:rsidR="00C921B7">
        <w:t xml:space="preserve">. For example, several eye health organisation </w:t>
      </w:r>
      <w:proofErr w:type="gramStart"/>
      <w:r w:rsidR="00C921B7">
        <w:t>report</w:t>
      </w:r>
      <w:proofErr w:type="gramEnd"/>
      <w:r w:rsidR="00C921B7">
        <w:t xml:space="preserve"> including questions in facility-based data collection forms that aligned to existing questions in national </w:t>
      </w:r>
      <w:r w:rsidR="00A27729">
        <w:t>censuses or health surveys.</w:t>
      </w:r>
      <w:r w:rsidR="00F27981">
        <w:t xml:space="preserve"> Given their low accuracy, eye health NGOs have found it beneficial to </w:t>
      </w:r>
      <w:r w:rsidR="00983231">
        <w:t>include WG-SS questions alongside these questions.</w:t>
      </w:r>
    </w:p>
    <w:p w14:paraId="356FADA0" w14:textId="659935C4" w:rsidR="006A0B1D" w:rsidRDefault="00983231" w:rsidP="006A0B1D">
      <w:pPr>
        <w:pStyle w:val="ListParagraph"/>
      </w:pPr>
      <w:r w:rsidRPr="00B940CE">
        <w:rPr>
          <w:b/>
          <w:bCs/>
        </w:rPr>
        <w:t>Linking to external data sources</w:t>
      </w:r>
      <w:r>
        <w:t xml:space="preserve"> – in some countries, </w:t>
      </w:r>
      <w:r w:rsidR="00E37888">
        <w:t xml:space="preserve">a person’s disability status may have been formally determined through </w:t>
      </w:r>
      <w:r w:rsidR="00003F94">
        <w:t>administrative</w:t>
      </w:r>
      <w:r w:rsidR="00D040AB">
        <w:t xml:space="preserve"> </w:t>
      </w:r>
      <w:r w:rsidR="00B249DC">
        <w:t xml:space="preserve">systems </w:t>
      </w:r>
      <w:r w:rsidR="00003F94">
        <w:t xml:space="preserve">outside of health facility or population survey. </w:t>
      </w:r>
      <w:r w:rsidR="00B249DC">
        <w:t xml:space="preserve">These systems include disability identification </w:t>
      </w:r>
      <w:r w:rsidR="006A0B1D">
        <w:t>card</w:t>
      </w:r>
      <w:r w:rsidR="00B249DC">
        <w:t xml:space="preserve">s, </w:t>
      </w:r>
      <w:r w:rsidR="006A0B1D">
        <w:t>social protection</w:t>
      </w:r>
      <w:r w:rsidR="00B249DC">
        <w:t xml:space="preserve"> entitlements/concession cards</w:t>
      </w:r>
      <w:r w:rsidR="00E6088E">
        <w:t xml:space="preserve"> and </w:t>
      </w:r>
      <w:r w:rsidR="006A0B1D">
        <w:t>public health insurance</w:t>
      </w:r>
      <w:r w:rsidR="00E6088E">
        <w:t xml:space="preserve"> records. </w:t>
      </w:r>
      <w:r w:rsidR="00B940CE">
        <w:t>As noted above, this greatly simplifies data collection, but the data will be limited by the extent and nature of disability information available through the external system.</w:t>
      </w:r>
      <w:r w:rsidR="0067012B">
        <w:t xml:space="preserve"> In many LMICs, these systems may capture only a small proportion of persons with disabilities</w:t>
      </w:r>
      <w:r w:rsidR="007C39A0">
        <w:t xml:space="preserve">. There may also be limits in terms of </w:t>
      </w:r>
      <w:r w:rsidR="00817B6F">
        <w:t xml:space="preserve">service coverage: for example, one eye health NGO reports that, in Vietnam, public </w:t>
      </w:r>
      <w:r w:rsidR="001740F9">
        <w:t>health insurance data include</w:t>
      </w:r>
      <w:r w:rsidR="000621BD">
        <w:t>d</w:t>
      </w:r>
      <w:r w:rsidR="001740F9">
        <w:t xml:space="preserve"> a person’s disability status and could be linked to their patient records at hospital; however, </w:t>
      </w:r>
      <w:r w:rsidR="0025501E">
        <w:t>public health insurance did not cover eye health outreach camps, and hence this data was unavailable in those settings.</w:t>
      </w:r>
      <w:r w:rsidR="0025501E">
        <w:rPr>
          <w:rStyle w:val="EndnoteReference"/>
        </w:rPr>
        <w:endnoteReference w:id="13"/>
      </w:r>
    </w:p>
    <w:p w14:paraId="01B039F4" w14:textId="172A6445" w:rsidR="00800A6D" w:rsidRDefault="00800A6D" w:rsidP="00032C4C">
      <w:pPr>
        <w:pStyle w:val="ListParagraph"/>
      </w:pPr>
      <w:r w:rsidRPr="00C168C1">
        <w:rPr>
          <w:b/>
          <w:bCs/>
        </w:rPr>
        <w:t>Clinical assessment</w:t>
      </w:r>
      <w:r w:rsidR="003E5ACE" w:rsidRPr="00C168C1">
        <w:rPr>
          <w:b/>
          <w:bCs/>
        </w:rPr>
        <w:t xml:space="preserve"> of impairment</w:t>
      </w:r>
      <w:r w:rsidR="004B5F5B">
        <w:t xml:space="preserve"> </w:t>
      </w:r>
      <w:r w:rsidR="00D83DA8">
        <w:t>–</w:t>
      </w:r>
      <w:r w:rsidR="004B5F5B">
        <w:t xml:space="preserve"> </w:t>
      </w:r>
      <w:r w:rsidR="00D83DA8">
        <w:t xml:space="preserve">clinical tools are available for screening for various types of impairments </w:t>
      </w:r>
      <w:r w:rsidR="000543BA">
        <w:t xml:space="preserve">by medical </w:t>
      </w:r>
      <w:proofErr w:type="gramStart"/>
      <w:r w:rsidR="000543BA">
        <w:t>personnel, and</w:t>
      </w:r>
      <w:proofErr w:type="gramEnd"/>
      <w:r w:rsidR="000543BA">
        <w:t xml:space="preserve"> may be used </w:t>
      </w:r>
      <w:r w:rsidR="007C7EAD">
        <w:t xml:space="preserve">alongside eye </w:t>
      </w:r>
      <w:r w:rsidR="00C7421C">
        <w:t xml:space="preserve">health assessments in contexts where a broader heath assessment is being conducted (e.g. in rehabilitation programs, community-based screening or when eye health services are delivered by general hospitals). </w:t>
      </w:r>
      <w:r w:rsidR="006974B0">
        <w:t xml:space="preserve">These </w:t>
      </w:r>
      <w:r w:rsidR="00A56535">
        <w:t xml:space="preserve">tools are used primarily </w:t>
      </w:r>
      <w:r w:rsidR="00830EF3">
        <w:t xml:space="preserve">to identify treatment or referral pathways, </w:t>
      </w:r>
      <w:r w:rsidR="006974B0">
        <w:t xml:space="preserve">rather than data disaggregation. Examples of their use in the eye health sector were not found, however it is important to note that medical personnel may have a </w:t>
      </w:r>
      <w:r w:rsidR="0057206B">
        <w:t>preference or presumption that this type of approach should be used rather than self-reported functioning.</w:t>
      </w:r>
    </w:p>
    <w:p w14:paraId="353D95F7" w14:textId="536688BB" w:rsidR="00971743" w:rsidRDefault="0009571B" w:rsidP="00C305A9">
      <w:r>
        <w:lastRenderedPageBreak/>
        <w:t xml:space="preserve">Literature and key informant interviews indicate that </w:t>
      </w:r>
      <w:r w:rsidRPr="004F7990">
        <w:rPr>
          <w:b/>
          <w:bCs/>
        </w:rPr>
        <w:t xml:space="preserve">the WG-SS is by far the most widely used question set in the eye health </w:t>
      </w:r>
      <w:proofErr w:type="gramStart"/>
      <w:r w:rsidRPr="004F7990">
        <w:rPr>
          <w:b/>
          <w:bCs/>
        </w:rPr>
        <w:t>sector</w:t>
      </w:r>
      <w:r w:rsidR="00101C9A">
        <w:t>, and</w:t>
      </w:r>
      <w:proofErr w:type="gramEnd"/>
      <w:r w:rsidR="00101C9A">
        <w:t xml:space="preserve"> is emerging as a preferred tool for DDD</w:t>
      </w:r>
      <w:r w:rsidR="004F7990">
        <w:t xml:space="preserve"> within programs. </w:t>
      </w:r>
      <w:r w:rsidR="00834FBA">
        <w:t xml:space="preserve">Direct questions about disability are also used </w:t>
      </w:r>
      <w:r w:rsidR="007158FD">
        <w:t xml:space="preserve">in many contexts, often driven by the need to align to existing </w:t>
      </w:r>
      <w:r w:rsidR="007C29CA">
        <w:t>disability definitions within a health system or population data.</w:t>
      </w:r>
      <w:r w:rsidR="00B40894">
        <w:t xml:space="preserve"> The literature </w:t>
      </w:r>
      <w:r w:rsidR="00641609">
        <w:t xml:space="preserve">reports </w:t>
      </w:r>
      <w:r w:rsidR="00B40894">
        <w:t xml:space="preserve">that </w:t>
      </w:r>
      <w:r w:rsidR="00641609">
        <w:t>where direct questions are used, eye health NGOs have found it valuable to also include the WG-SS alongside these</w:t>
      </w:r>
      <w:r w:rsidR="00CE3FB9">
        <w:t>.</w:t>
      </w:r>
    </w:p>
    <w:p w14:paraId="4C2893DA" w14:textId="57255253" w:rsidR="00407D25" w:rsidRDefault="00407D25" w:rsidP="00C305A9">
      <w:r>
        <w:t xml:space="preserve">There is an emerging body of </w:t>
      </w:r>
      <w:r w:rsidR="0069734E">
        <w:t>literature</w:t>
      </w:r>
      <w:r>
        <w:t xml:space="preserve"> </w:t>
      </w:r>
      <w:r w:rsidR="001166DF">
        <w:t xml:space="preserve">around the ways in which the WG-SS should be applied. </w:t>
      </w:r>
      <w:r w:rsidR="0075177E">
        <w:t xml:space="preserve">In some of the earlier literature reviewed, eye health organisations had </w:t>
      </w:r>
      <w:r w:rsidR="00115FB6">
        <w:t xml:space="preserve">reportedly </w:t>
      </w:r>
      <w:r w:rsidR="0075177E">
        <w:t xml:space="preserve">trialled </w:t>
      </w:r>
      <w:r w:rsidR="00ED331E">
        <w:t xml:space="preserve">asking </w:t>
      </w:r>
      <w:r w:rsidR="0075177E">
        <w:t xml:space="preserve">only </w:t>
      </w:r>
      <w:r w:rsidR="00ED331E">
        <w:t xml:space="preserve">some of the WG-SS questions (e.g. asking only 3 of the 6 questions) or simplifying the response categories (e.g. </w:t>
      </w:r>
      <w:r w:rsidR="000D7106">
        <w:t>prompting a yes/no response instead of the recommended four-response scale).</w:t>
      </w:r>
      <w:r w:rsidR="000B1870">
        <w:t xml:space="preserve"> These modifications were </w:t>
      </w:r>
      <w:r w:rsidR="00CE3FB9">
        <w:t xml:space="preserve">reportedly </w:t>
      </w:r>
      <w:r w:rsidR="000B1870">
        <w:t xml:space="preserve">made to streamline and simplify </w:t>
      </w:r>
      <w:proofErr w:type="gramStart"/>
      <w:r w:rsidR="00FE4445">
        <w:t>questionnaires, but</w:t>
      </w:r>
      <w:proofErr w:type="gramEnd"/>
      <w:r w:rsidR="00FE4445">
        <w:t xml:space="preserve"> were found to result in less accurate data that was not comparable across different datasets.</w:t>
      </w:r>
      <w:r w:rsidR="004104FE">
        <w:t xml:space="preserve"> More recent </w:t>
      </w:r>
      <w:r w:rsidR="00115FB6">
        <w:t xml:space="preserve">literature </w:t>
      </w:r>
      <w:r w:rsidR="008D7936">
        <w:t xml:space="preserve">reports the </w:t>
      </w:r>
      <w:r w:rsidR="008D7936" w:rsidRPr="008D7936">
        <w:rPr>
          <w:b/>
          <w:bCs/>
        </w:rPr>
        <w:t>use of the</w:t>
      </w:r>
      <w:r w:rsidR="008D7936">
        <w:t xml:space="preserve"> </w:t>
      </w:r>
      <w:r w:rsidR="008D7936" w:rsidRPr="00D25188">
        <w:rPr>
          <w:b/>
          <w:bCs/>
        </w:rPr>
        <w:t>WG-SS in its complete, recommended format</w:t>
      </w:r>
      <w:r w:rsidR="004104FE">
        <w:t xml:space="preserve">, which mirrors experience </w:t>
      </w:r>
      <w:r w:rsidR="008D7936">
        <w:t xml:space="preserve">with this </w:t>
      </w:r>
      <w:r w:rsidR="00CD1571">
        <w:t xml:space="preserve">question set </w:t>
      </w:r>
      <w:r w:rsidR="004104FE">
        <w:t>from outside of the health sector</w:t>
      </w:r>
      <w:r w:rsidR="00E50293">
        <w:t>.</w:t>
      </w:r>
      <w:r w:rsidR="00FE4445">
        <w:t xml:space="preserve"> </w:t>
      </w:r>
    </w:p>
    <w:p w14:paraId="7F388290" w14:textId="345CF0E6" w:rsidR="0034353D" w:rsidRDefault="002E48F1" w:rsidP="0034353D">
      <w:r>
        <w:t xml:space="preserve">This literature also reports that eye health organisations and researchers have found value in </w:t>
      </w:r>
      <w:r w:rsidR="0018438A" w:rsidRPr="001E1F37">
        <w:rPr>
          <w:b/>
          <w:bCs/>
        </w:rPr>
        <w:t xml:space="preserve">disaggregating WG-SS data </w:t>
      </w:r>
      <w:r w:rsidR="001E1F37" w:rsidRPr="001E1F37">
        <w:rPr>
          <w:b/>
          <w:bCs/>
        </w:rPr>
        <w:t>with</w:t>
      </w:r>
      <w:r w:rsidR="001E1F37">
        <w:t xml:space="preserve"> </w:t>
      </w:r>
      <w:r w:rsidR="0034353D" w:rsidRPr="00D25188">
        <w:rPr>
          <w:b/>
          <w:bCs/>
        </w:rPr>
        <w:t>the vision domain</w:t>
      </w:r>
      <w:r w:rsidR="001E1F37">
        <w:rPr>
          <w:b/>
          <w:bCs/>
        </w:rPr>
        <w:t xml:space="preserve"> excluded</w:t>
      </w:r>
      <w:r w:rsidR="00A30795">
        <w:t xml:space="preserve">, </w:t>
      </w:r>
      <w:r w:rsidR="0034353D">
        <w:t xml:space="preserve">due to the close association between difficulties seeing and clinical vision impairment. In an eye health context, the target population is persons with vision impairment or at risk of VI – the focus of </w:t>
      </w:r>
      <w:r w:rsidR="00A30795">
        <w:t xml:space="preserve">disability inclusion </w:t>
      </w:r>
      <w:r w:rsidR="0034353D">
        <w:t xml:space="preserve">is therefore </w:t>
      </w:r>
      <w:r w:rsidR="00A30795">
        <w:t xml:space="preserve">understood as </w:t>
      </w:r>
      <w:r w:rsidR="00151949">
        <w:t xml:space="preserve">analysing </w:t>
      </w:r>
      <w:r w:rsidR="0034353D">
        <w:t xml:space="preserve">the differences between persons with disabilities (or functional difficulties) other than vision, and those of persons without these disabilities. </w:t>
      </w:r>
    </w:p>
    <w:p w14:paraId="35F5DC74" w14:textId="77777777" w:rsidR="0034353D" w:rsidRDefault="0034353D" w:rsidP="0034353D">
      <w:r>
        <w:t xml:space="preserve">Eye health organisations and researchers have trialled different ‘cut-offs’ in analysis of WG-SS question data. (The cut-off defines how a person’s responses to a question set are analysed to categorise them as a person with or without disability within a dataset.) The </w:t>
      </w:r>
      <w:r w:rsidRPr="008123FE">
        <w:rPr>
          <w:b/>
          <w:bCs/>
        </w:rPr>
        <w:t>WG’s standard cut-off for data disaggregation is widely applied and recommended</w:t>
      </w:r>
      <w:r>
        <w:t xml:space="preserve"> in the eye health literature: a person who </w:t>
      </w:r>
      <w:proofErr w:type="gramStart"/>
      <w:r>
        <w:t>responds</w:t>
      </w:r>
      <w:proofErr w:type="gramEnd"/>
      <w:r>
        <w:t xml:space="preserve"> ‘a lot of difficulty’ or ‘cannot do’ (i.e. the two highest levels of difficulty) to one or more of the questions is defined as a person with a disability. This cut-off identifies the population who are most likely to experience barriers to inclusion or require support or adaptions in order to access </w:t>
      </w:r>
      <w:proofErr w:type="gramStart"/>
      <w:r>
        <w:t>services, and</w:t>
      </w:r>
      <w:proofErr w:type="gramEnd"/>
      <w:r>
        <w:t xml:space="preserve"> is far more specific as a screen for impairments. Its use is recommended for population-based studies and monitoring of eye health access. However, the purpose for which data is being used in a particular case may warrant use of one or more alternative cut-offs. For example, research suggests that where WG-SS data is being used to screen for persons who may benefit from additional health referrals or reasonable accommodations, the lower cut-off of ‘some difficulty’ is far more sensitive and would capture many such persons who would be missed by the standard cut-off.</w:t>
      </w:r>
      <w:r>
        <w:rPr>
          <w:rStyle w:val="EndnoteReference"/>
        </w:rPr>
        <w:endnoteReference w:id="14"/>
      </w:r>
    </w:p>
    <w:p w14:paraId="126F398A" w14:textId="6916F677" w:rsidR="003E18A8" w:rsidRDefault="003E18A8" w:rsidP="003E18A8">
      <w:pPr>
        <w:pStyle w:val="Heading3"/>
        <w:numPr>
          <w:ilvl w:val="2"/>
          <w:numId w:val="15"/>
        </w:numPr>
      </w:pPr>
      <w:r>
        <w:t>Discussion</w:t>
      </w:r>
    </w:p>
    <w:p w14:paraId="09BFFFA6" w14:textId="435B2143" w:rsidR="00971743" w:rsidRDefault="003E18A8" w:rsidP="00971743">
      <w:r>
        <w:t xml:space="preserve">Disaggregating data by disability is a key </w:t>
      </w:r>
      <w:r w:rsidR="00DB4163">
        <w:t xml:space="preserve">source of information </w:t>
      </w:r>
      <w:r w:rsidR="00752B76">
        <w:t>to inform disability inclusion analysis and programming</w:t>
      </w:r>
      <w:r>
        <w:t xml:space="preserve">. </w:t>
      </w:r>
      <w:r w:rsidR="00971743">
        <w:t>There is an extensive body of literature and practical experience on the approaches to</w:t>
      </w:r>
      <w:r w:rsidR="00C3191E">
        <w:t>,</w:t>
      </w:r>
      <w:r w:rsidR="00971743">
        <w:t xml:space="preserve"> and complexities of</w:t>
      </w:r>
      <w:r w:rsidR="00C3191E">
        <w:t>,</w:t>
      </w:r>
      <w:r w:rsidR="00971743">
        <w:t xml:space="preserve"> disaggregating data by disability (the background literature in </w:t>
      </w:r>
      <w:hyperlink w:anchor="_Background_literature_on" w:history="1">
        <w:r w:rsidR="00971743" w:rsidRPr="00E647B7">
          <w:rPr>
            <w:rStyle w:val="Hyperlink"/>
          </w:rPr>
          <w:t>Annex 3</w:t>
        </w:r>
      </w:hyperlink>
      <w:r w:rsidR="00971743">
        <w:t xml:space="preserve"> provides some context on this). This literature is not reviewed here, aside from noting that disability is </w:t>
      </w:r>
      <w:r w:rsidR="00C3191E">
        <w:t xml:space="preserve">a </w:t>
      </w:r>
      <w:r w:rsidR="00971743">
        <w:t xml:space="preserve">multi-faceted </w:t>
      </w:r>
      <w:r w:rsidR="00C3191E">
        <w:t xml:space="preserve">concept </w:t>
      </w:r>
      <w:r w:rsidR="00971743">
        <w:t>and</w:t>
      </w:r>
      <w:r w:rsidR="00C3191E">
        <w:t>,</w:t>
      </w:r>
      <w:r w:rsidR="00971743">
        <w:t xml:space="preserve"> </w:t>
      </w:r>
      <w:proofErr w:type="gramStart"/>
      <w:r w:rsidR="00971743">
        <w:t>in order to</w:t>
      </w:r>
      <w:proofErr w:type="gramEnd"/>
      <w:r w:rsidR="00971743">
        <w:t xml:space="preserve"> simplify the process of assigning a disability identifier to an individual during </w:t>
      </w:r>
      <w:r w:rsidR="00C3191E">
        <w:t xml:space="preserve">data analysis, </w:t>
      </w:r>
      <w:r w:rsidR="00971743">
        <w:t xml:space="preserve">there is general consensus on using a ‘functional approach’. This means that a person self-reports </w:t>
      </w:r>
      <w:r w:rsidR="001A3D5A">
        <w:t xml:space="preserve">the extent of any </w:t>
      </w:r>
      <w:r w:rsidR="00971743">
        <w:t>difficulties they may have in basic domains of human functioning</w:t>
      </w:r>
      <w:r w:rsidR="001A3D5A">
        <w:t xml:space="preserve">; </w:t>
      </w:r>
      <w:r w:rsidR="00971743">
        <w:t>if their responses reach the specified threshold for risk of disability</w:t>
      </w:r>
      <w:r w:rsidR="001A3D5A">
        <w:t>,</w:t>
      </w:r>
      <w:r w:rsidR="00971743">
        <w:t xml:space="preserve"> their responses are then used as a proxy for </w:t>
      </w:r>
      <w:r w:rsidR="001A3D5A">
        <w:t xml:space="preserve">identifying </w:t>
      </w:r>
      <w:r w:rsidR="00971743">
        <w:t xml:space="preserve">disability and used to disaggregate the dataset by disability. </w:t>
      </w:r>
    </w:p>
    <w:p w14:paraId="33FBAFA8" w14:textId="77777777" w:rsidR="0034353D" w:rsidRDefault="0034353D" w:rsidP="0034353D">
      <w:r>
        <w:lastRenderedPageBreak/>
        <w:t xml:space="preserve">Over the past decade there has been significant development of approaches to DDD in the eye health sector. There is now a clear consensus </w:t>
      </w:r>
      <w:r w:rsidRPr="00D25188">
        <w:t>that</w:t>
      </w:r>
      <w:r w:rsidRPr="00D25188">
        <w:rPr>
          <w:b/>
          <w:bCs/>
        </w:rPr>
        <w:t xml:space="preserve"> self-reported functioning is the recommended approach to disaggregating data</w:t>
      </w:r>
      <w:r>
        <w:rPr>
          <w:b/>
          <w:bCs/>
        </w:rPr>
        <w:t>.</w:t>
      </w:r>
      <w:r>
        <w:t xml:space="preserve"> Where existing health systems, administrative data or population data use alternative approaches to DDD, question sets on functioning can and should be integrated alongside these. In eye health or any health context, it is important to work with medical personnel to ensure they understand the rationale for collecting self-reported functioning data (which might otherwise seem irrelevant to them).</w:t>
      </w:r>
    </w:p>
    <w:p w14:paraId="3EDC1660" w14:textId="7EB38AD2" w:rsidR="0028766D" w:rsidRDefault="0034353D" w:rsidP="0034353D">
      <w:r>
        <w:t xml:space="preserve">The </w:t>
      </w:r>
      <w:r w:rsidRPr="00D25188">
        <w:rPr>
          <w:b/>
          <w:bCs/>
        </w:rPr>
        <w:t>WG-SS has emerged as the preferred tool</w:t>
      </w:r>
      <w:r>
        <w:t xml:space="preserve"> and has been widely used and recommended in population-based and facility-based eye health data collection. The growing consensus and wider use of this tool, including in RAABs and in other relevant datasets, in turn </w:t>
      </w:r>
      <w:r w:rsidR="00096CB3">
        <w:t xml:space="preserve">supports </w:t>
      </w:r>
      <w:r>
        <w:t xml:space="preserve">a further rationale for its use </w:t>
      </w:r>
      <w:proofErr w:type="gramStart"/>
      <w:r>
        <w:t>in order to</w:t>
      </w:r>
      <w:proofErr w:type="gramEnd"/>
      <w:r>
        <w:t xml:space="preserve"> harmonise data approaches and enable comparison of datasets. </w:t>
      </w:r>
    </w:p>
    <w:p w14:paraId="4898129A" w14:textId="3839B036" w:rsidR="000C63E4" w:rsidRDefault="004E0954" w:rsidP="000C63E4">
      <w:r>
        <w:t xml:space="preserve">The evidence also supports a clear recommendation that </w:t>
      </w:r>
      <w:r>
        <w:rPr>
          <w:b/>
          <w:bCs/>
        </w:rPr>
        <w:t>disaggregation</w:t>
      </w:r>
      <w:r w:rsidRPr="00D25188">
        <w:rPr>
          <w:b/>
          <w:bCs/>
        </w:rPr>
        <w:t xml:space="preserve"> of data on functioning in the eye health sector</w:t>
      </w:r>
      <w:r>
        <w:t xml:space="preserve">, including that generated by the WG-SS and other question sets mentioned above, </w:t>
      </w:r>
      <w:r w:rsidRPr="00D25188">
        <w:rPr>
          <w:b/>
          <w:bCs/>
        </w:rPr>
        <w:t xml:space="preserve">should </w:t>
      </w:r>
      <w:r w:rsidR="002E48F1">
        <w:rPr>
          <w:b/>
          <w:bCs/>
        </w:rPr>
        <w:t xml:space="preserve">include an analysis of data </w:t>
      </w:r>
      <w:r w:rsidRPr="00D25188">
        <w:rPr>
          <w:b/>
          <w:bCs/>
        </w:rPr>
        <w:t>exclud</w:t>
      </w:r>
      <w:r w:rsidR="002E48F1">
        <w:rPr>
          <w:b/>
          <w:bCs/>
        </w:rPr>
        <w:t xml:space="preserve">ing </w:t>
      </w:r>
      <w:r w:rsidRPr="00D25188">
        <w:rPr>
          <w:b/>
          <w:bCs/>
        </w:rPr>
        <w:t>the vision domain</w:t>
      </w:r>
      <w:r>
        <w:t>.</w:t>
      </w:r>
      <w:r w:rsidR="00DD7C9E">
        <w:t xml:space="preserve"> </w:t>
      </w:r>
      <w:r w:rsidR="00650BD3">
        <w:t xml:space="preserve">This aligns to a perspective that disability inclusion in eye health </w:t>
      </w:r>
      <w:r w:rsidR="00C76475">
        <w:t>involves reaching those persons who have other disabilities, in</w:t>
      </w:r>
      <w:r w:rsidR="00096CB3">
        <w:t xml:space="preserve"> </w:t>
      </w:r>
      <w:r w:rsidR="00607318">
        <w:t xml:space="preserve">addition to vision impairment. </w:t>
      </w:r>
      <w:r w:rsidR="000C63E4">
        <w:t>Terminology can get somewhat confusing here; the population group is variously described as ‘persons with non-visual disabilities’, ‘persons with disabilities (other than vision)’ or ‘persons with additional disabilities (in addition to vision impairment)’. Clear communication is needed around the focus and purpose of DI in an eye health context, i.e. that it is about persons with eye health problems or VI who also have other disabilities.</w:t>
      </w:r>
      <w:r w:rsidR="000C63E4">
        <w:rPr>
          <w:rStyle w:val="EndnoteReference"/>
        </w:rPr>
        <w:endnoteReference w:id="15"/>
      </w:r>
      <w:r w:rsidR="000C63E4">
        <w:t xml:space="preserve"> At the level of data analysis, the approach is straightforward: the vision question is excluded from analysis when calculating </w:t>
      </w:r>
      <w:r w:rsidR="00742DF5">
        <w:t xml:space="preserve">a </w:t>
      </w:r>
      <w:r w:rsidR="000C63E4">
        <w:t xml:space="preserve">‘with </w:t>
      </w:r>
      <w:r w:rsidR="00DB4163">
        <w:t xml:space="preserve">non-visual </w:t>
      </w:r>
      <w:r w:rsidR="000C63E4">
        <w:t xml:space="preserve">disability’ </w:t>
      </w:r>
      <w:r w:rsidR="0040613E">
        <w:t>identifier</w:t>
      </w:r>
      <w:r w:rsidR="000C63E4">
        <w:t>.</w:t>
      </w:r>
      <w:r w:rsidR="000C63E4">
        <w:rPr>
          <w:rStyle w:val="EndnoteReference"/>
        </w:rPr>
        <w:endnoteReference w:id="16"/>
      </w:r>
      <w:r w:rsidR="00742DF5">
        <w:t xml:space="preserve"> This can be done in addition to the typical approach, whereby responses against all six WG-SS questions are used to create a ‘with disability’ identifier in data analysis.  </w:t>
      </w:r>
    </w:p>
    <w:p w14:paraId="787143F5" w14:textId="21741825" w:rsidR="00FF2024" w:rsidRDefault="00FC0563" w:rsidP="00E56B60">
      <w:r>
        <w:t xml:space="preserve">Finally, the </w:t>
      </w:r>
      <w:r w:rsidRPr="00E56B60">
        <w:rPr>
          <w:b/>
          <w:bCs/>
        </w:rPr>
        <w:t>use and trialling of more comprehensive question sets on functioning are underdeveloped in the eye health sector</w:t>
      </w:r>
      <w:r w:rsidR="00E56B60">
        <w:t>, although noted by some eye health NGOs as a priority. T</w:t>
      </w:r>
      <w:r w:rsidR="00FF2024">
        <w:t xml:space="preserve">ools </w:t>
      </w:r>
      <w:r w:rsidR="00E56B60">
        <w:t xml:space="preserve">such as the </w:t>
      </w:r>
      <w:r w:rsidR="00254E1C">
        <w:t xml:space="preserve">WG-SS Enhanced and WG-ES </w:t>
      </w:r>
      <w:r w:rsidR="00FF2024">
        <w:t xml:space="preserve">should be explored in contexts where </w:t>
      </w:r>
      <w:r w:rsidR="00254E1C">
        <w:t xml:space="preserve">a </w:t>
      </w:r>
      <w:r w:rsidR="00FF2024">
        <w:t>more accurate understanding of disability</w:t>
      </w:r>
      <w:r w:rsidR="00254E1C">
        <w:t>, health and eye health</w:t>
      </w:r>
      <w:r w:rsidR="00FF2024">
        <w:t xml:space="preserve"> is required</w:t>
      </w:r>
      <w:r w:rsidR="00154365">
        <w:t xml:space="preserve">. This should include </w:t>
      </w:r>
      <w:r w:rsidR="00AB6ABA">
        <w:t xml:space="preserve">research and analysis on the eye health situations and access barriers for particularly </w:t>
      </w:r>
      <w:r w:rsidR="00D906E8">
        <w:t>marginalised</w:t>
      </w:r>
      <w:r w:rsidR="00AB6ABA">
        <w:t xml:space="preserve"> groups of persons with disabilities</w:t>
      </w:r>
      <w:r w:rsidR="00D906E8">
        <w:t xml:space="preserve"> who may not be captured by the WG-SS. This includes persons with psychosocial disabilities and persons with some types of cognitive disabilities.</w:t>
      </w:r>
      <w:r w:rsidR="00634E4E">
        <w:t xml:space="preserve"> While the use of these tools within eye health facilities may not be feasible </w:t>
      </w:r>
      <w:r w:rsidR="00233CB8">
        <w:t xml:space="preserve">(within available resources), their use in population surveys or other research could generate important information about health </w:t>
      </w:r>
      <w:r w:rsidR="00782683">
        <w:t>access and barriers to inclusion for more marginalised groups of persons with disabilities.</w:t>
      </w:r>
    </w:p>
    <w:p w14:paraId="5A980D53" w14:textId="0078C314" w:rsidR="0036117A" w:rsidRDefault="0036117A" w:rsidP="00226B27">
      <w:pPr>
        <w:pStyle w:val="Heading2"/>
        <w:numPr>
          <w:ilvl w:val="1"/>
          <w:numId w:val="15"/>
        </w:numPr>
      </w:pPr>
      <w:bookmarkStart w:id="10" w:name="_Toc135388370"/>
      <w:r>
        <w:t xml:space="preserve">Routine/systematic </w:t>
      </w:r>
      <w:r w:rsidR="00F4690A">
        <w:t xml:space="preserve">versus </w:t>
      </w:r>
      <w:r w:rsidR="00F96AC0">
        <w:t>targeted</w:t>
      </w:r>
      <w:r w:rsidR="00F4690A">
        <w:t xml:space="preserve"> </w:t>
      </w:r>
      <w:r>
        <w:t>data collection</w:t>
      </w:r>
      <w:bookmarkEnd w:id="10"/>
    </w:p>
    <w:p w14:paraId="12EAB4D4" w14:textId="237CA954" w:rsidR="00361EF9" w:rsidRDefault="00361EF9" w:rsidP="00361EF9">
      <w:pPr>
        <w:pStyle w:val="Heading3"/>
        <w:numPr>
          <w:ilvl w:val="2"/>
          <w:numId w:val="15"/>
        </w:numPr>
      </w:pPr>
      <w:r>
        <w:t>Findings</w:t>
      </w:r>
    </w:p>
    <w:p w14:paraId="742D11D1" w14:textId="59E0A9A8" w:rsidR="00D63A59" w:rsidRDefault="007042BE" w:rsidP="00C91C14">
      <w:r>
        <w:t xml:space="preserve">The WHO notes that, globally, </w:t>
      </w:r>
      <w:r w:rsidR="00C91C14">
        <w:t xml:space="preserve">there is as lack of information about disability </w:t>
      </w:r>
      <w:r w:rsidR="00C6349A">
        <w:t>in health management information systems (HMISs)</w:t>
      </w:r>
      <w:r w:rsidR="00C91C14">
        <w:t xml:space="preserve"> and, as a result, disability becomes ‘invisible’ and under-prioritised in the health sector.</w:t>
      </w:r>
      <w:r w:rsidR="00422237">
        <w:rPr>
          <w:rStyle w:val="EndnoteReference"/>
        </w:rPr>
        <w:endnoteReference w:id="17"/>
      </w:r>
      <w:r w:rsidR="006D1443">
        <w:t xml:space="preserve"> The importance of integrating disability data into HMISs is well documented in the broader health sector</w:t>
      </w:r>
      <w:r w:rsidR="00CF2143">
        <w:t xml:space="preserve"> literature</w:t>
      </w:r>
      <w:r w:rsidR="006D1443">
        <w:t>,</w:t>
      </w:r>
      <w:r w:rsidR="00647D88">
        <w:rPr>
          <w:rStyle w:val="EndnoteReference"/>
        </w:rPr>
        <w:endnoteReference w:id="18"/>
      </w:r>
      <w:r w:rsidR="006D1443">
        <w:t xml:space="preserve"> </w:t>
      </w:r>
      <w:r w:rsidR="00DF33B5">
        <w:t xml:space="preserve">and </w:t>
      </w:r>
      <w:r w:rsidR="00CF2143">
        <w:t xml:space="preserve">was </w:t>
      </w:r>
      <w:r w:rsidR="00DF33B5">
        <w:t xml:space="preserve">identified </w:t>
      </w:r>
      <w:r w:rsidR="00DF33B5">
        <w:lastRenderedPageBreak/>
        <w:t xml:space="preserve">as a key priority by </w:t>
      </w:r>
      <w:r w:rsidR="00CF2143">
        <w:t>key informants</w:t>
      </w:r>
      <w:r w:rsidR="00DF33B5">
        <w:t xml:space="preserve">. </w:t>
      </w:r>
      <w:r w:rsidR="0074530B">
        <w:t xml:space="preserve">However, key informants </w:t>
      </w:r>
      <w:r w:rsidR="00410893">
        <w:t xml:space="preserve">reported that HMIS reform </w:t>
      </w:r>
      <w:r w:rsidR="00711449">
        <w:t xml:space="preserve">is challenging, </w:t>
      </w:r>
      <w:r w:rsidR="00410893">
        <w:t xml:space="preserve">requires </w:t>
      </w:r>
      <w:r w:rsidR="00BC5005">
        <w:t>political will</w:t>
      </w:r>
      <w:r w:rsidR="000762A3">
        <w:t xml:space="preserve"> and</w:t>
      </w:r>
      <w:r w:rsidR="00BC5005">
        <w:t xml:space="preserve"> resourcing </w:t>
      </w:r>
      <w:r w:rsidR="00C01CB5">
        <w:t xml:space="preserve">and is </w:t>
      </w:r>
      <w:r w:rsidR="00711449">
        <w:t xml:space="preserve">seen as </w:t>
      </w:r>
      <w:r w:rsidR="00C01CB5">
        <w:t>a longer</w:t>
      </w:r>
      <w:r w:rsidR="006E2AB6">
        <w:t>-</w:t>
      </w:r>
      <w:r w:rsidR="00C01CB5">
        <w:t xml:space="preserve">term objective. </w:t>
      </w:r>
    </w:p>
    <w:p w14:paraId="0BE7AFA6" w14:textId="77777777" w:rsidR="0071110B" w:rsidRDefault="00D73BA8" w:rsidP="00C91C14">
      <w:r>
        <w:t xml:space="preserve">Findings from the literature review and key informant interviews identified </w:t>
      </w:r>
      <w:r w:rsidR="00D63A59">
        <w:t xml:space="preserve">that eye health organisations have trialled various </w:t>
      </w:r>
      <w:r w:rsidR="00F6672A">
        <w:t xml:space="preserve">approaches to collecting disability-related patient data </w:t>
      </w:r>
      <w:r w:rsidR="008C7398">
        <w:t xml:space="preserve">at eye health facilities. These have included routine data collection, whereby disability data </w:t>
      </w:r>
      <w:r w:rsidR="00D65292">
        <w:t xml:space="preserve">is collected from every patient accessing a service, and targeted data collection, whereby disability data is collected from a sample or other subset of patients. </w:t>
      </w:r>
    </w:p>
    <w:p w14:paraId="41E23BF1" w14:textId="2AB85084" w:rsidR="007042BE" w:rsidRDefault="0071110B" w:rsidP="00C91C14">
      <w:r>
        <w:t>T</w:t>
      </w:r>
      <w:r w:rsidR="00D73BA8">
        <w:t>he following a</w:t>
      </w:r>
      <w:r w:rsidR="00235442">
        <w:t xml:space="preserve">pproaches to </w:t>
      </w:r>
      <w:r w:rsidR="00235442" w:rsidRPr="004607B2">
        <w:rPr>
          <w:b/>
          <w:bCs/>
        </w:rPr>
        <w:t>routine data collection</w:t>
      </w:r>
      <w:r w:rsidR="00235442">
        <w:t xml:space="preserve"> in the eye health </w:t>
      </w:r>
      <w:r w:rsidR="00262A8E">
        <w:t xml:space="preserve">facilities </w:t>
      </w:r>
      <w:r>
        <w:t>were identified</w:t>
      </w:r>
      <w:r w:rsidR="00235442">
        <w:t>:</w:t>
      </w:r>
    </w:p>
    <w:p w14:paraId="1B286819" w14:textId="03175056" w:rsidR="0036117A" w:rsidRDefault="00E024F4" w:rsidP="008A0AF5">
      <w:pPr>
        <w:pStyle w:val="ListParagraph"/>
      </w:pPr>
      <w:r w:rsidRPr="00F64016">
        <w:rPr>
          <w:b/>
          <w:bCs/>
        </w:rPr>
        <w:t>Collection of disability data within HMIS</w:t>
      </w:r>
      <w:r w:rsidR="00235442">
        <w:t xml:space="preserve"> – </w:t>
      </w:r>
      <w:r w:rsidR="008651FE">
        <w:t xml:space="preserve">relatively few examples </w:t>
      </w:r>
      <w:r w:rsidR="00F06260">
        <w:t xml:space="preserve">are found of disability data being </w:t>
      </w:r>
      <w:r w:rsidR="00880A9B">
        <w:t xml:space="preserve">systematically </w:t>
      </w:r>
      <w:r w:rsidR="00F06260">
        <w:t xml:space="preserve">collected through HMISs </w:t>
      </w:r>
      <w:r w:rsidR="003E7D0E">
        <w:t xml:space="preserve">in </w:t>
      </w:r>
      <w:r w:rsidR="00CA5D9C">
        <w:t xml:space="preserve">eye health </w:t>
      </w:r>
      <w:r w:rsidR="00F06260">
        <w:t>facilities</w:t>
      </w:r>
      <w:r w:rsidR="003E7D0E">
        <w:t xml:space="preserve">, although doing so is </w:t>
      </w:r>
      <w:r w:rsidR="00D82A5B">
        <w:t xml:space="preserve">identified as a priority </w:t>
      </w:r>
      <w:r w:rsidR="00C10E3C">
        <w:t xml:space="preserve">by eye health organisations </w:t>
      </w:r>
      <w:r w:rsidR="00D82A5B">
        <w:t xml:space="preserve">and </w:t>
      </w:r>
      <w:r w:rsidR="00C10E3C">
        <w:t>reportedly</w:t>
      </w:r>
      <w:r w:rsidR="00DB16DA">
        <w:t xml:space="preserve"> significantly </w:t>
      </w:r>
      <w:r w:rsidR="00DE3518">
        <w:t>streamlines data collection</w:t>
      </w:r>
      <w:r w:rsidR="00F64016">
        <w:t xml:space="preserve">. </w:t>
      </w:r>
      <w:r w:rsidR="0071110B">
        <w:t xml:space="preserve">Key informants </w:t>
      </w:r>
      <w:r w:rsidR="00880A9B">
        <w:t>reported effort</w:t>
      </w:r>
      <w:r w:rsidR="002208E1">
        <w:t>s</w:t>
      </w:r>
      <w:r w:rsidR="00880A9B">
        <w:t xml:space="preserve"> to </w:t>
      </w:r>
      <w:r w:rsidR="00102F5F">
        <w:t xml:space="preserve">integrate disability data into HMISs in </w:t>
      </w:r>
      <w:r w:rsidR="008E5960">
        <w:t xml:space="preserve">Cambodia, </w:t>
      </w:r>
      <w:r w:rsidR="00102F5F" w:rsidRPr="00102F5F">
        <w:t>Pakistan, India, Senegal, Nigeria, Liberia, Cameroon, Kenya</w:t>
      </w:r>
      <w:r w:rsidR="00BE5B1F">
        <w:t>,</w:t>
      </w:r>
      <w:r w:rsidR="003B17F0">
        <w:t xml:space="preserve"> Mozambique</w:t>
      </w:r>
      <w:r w:rsidR="00BE5B1F">
        <w:t xml:space="preserve"> and the Palestinian Territories</w:t>
      </w:r>
      <w:r w:rsidR="003B17F0">
        <w:t>.</w:t>
      </w:r>
      <w:r w:rsidR="008E5960">
        <w:t xml:space="preserve"> </w:t>
      </w:r>
      <w:r w:rsidR="00A61255">
        <w:t xml:space="preserve">Details of </w:t>
      </w:r>
      <w:r w:rsidR="00E51B67">
        <w:t xml:space="preserve">all </w:t>
      </w:r>
      <w:r w:rsidR="00A61255">
        <w:t>example</w:t>
      </w:r>
      <w:r w:rsidR="00E51B67">
        <w:t>s</w:t>
      </w:r>
      <w:r w:rsidR="00A61255">
        <w:t xml:space="preserve"> were not available; however, of those reviewed</w:t>
      </w:r>
      <w:r w:rsidR="00F32510">
        <w:t xml:space="preserve">, it appears that successful integration of disability data to date has happened where an HMIS is owned and controlled by an individual hospital (i.e. </w:t>
      </w:r>
      <w:r w:rsidR="005E4AE6">
        <w:t xml:space="preserve">non-government hospitals). Examples of </w:t>
      </w:r>
      <w:r w:rsidR="00CB34BA">
        <w:t xml:space="preserve">disability data being collected through government HMISs were not found, although </w:t>
      </w:r>
      <w:r w:rsidR="008918C7">
        <w:t>preliminary work on this is reportedly underway in some countries</w:t>
      </w:r>
      <w:r w:rsidR="00F97B52">
        <w:t xml:space="preserve"> (e.g. Kenya and Mozambique)</w:t>
      </w:r>
      <w:r w:rsidR="008918C7">
        <w:t xml:space="preserve">. </w:t>
      </w:r>
    </w:p>
    <w:p w14:paraId="12973634" w14:textId="75C8C1F4" w:rsidR="004E7FEC" w:rsidRDefault="004E7FEC" w:rsidP="004E7FEC">
      <w:pPr>
        <w:pStyle w:val="ListParagraph"/>
      </w:pPr>
      <w:r w:rsidRPr="004E7FEC">
        <w:rPr>
          <w:b/>
          <w:bCs/>
        </w:rPr>
        <w:t>Advocacy for HMIS strengthening</w:t>
      </w:r>
      <w:r>
        <w:t xml:space="preserve"> – eye health organisations are </w:t>
      </w:r>
      <w:r w:rsidR="008232A1">
        <w:t>advocat</w:t>
      </w:r>
      <w:r w:rsidR="005449C7">
        <w:t xml:space="preserve">ing for collection of disability data within government HMISs in a range </w:t>
      </w:r>
      <w:r w:rsidR="00FA09A9">
        <w:t xml:space="preserve">of contexts. Approaches to this </w:t>
      </w:r>
      <w:proofErr w:type="gramStart"/>
      <w:r w:rsidR="00FA09A9">
        <w:t>include:</w:t>
      </w:r>
      <w:proofErr w:type="gramEnd"/>
      <w:r w:rsidR="00FA09A9">
        <w:t xml:space="preserve"> piloting routine disability data collection in particular </w:t>
      </w:r>
      <w:r w:rsidR="00860B07">
        <w:t>hospitals</w:t>
      </w:r>
      <w:r w:rsidR="00FA09A9">
        <w:t>/</w:t>
      </w:r>
      <w:r w:rsidR="00860B07">
        <w:t>centres/catchments</w:t>
      </w:r>
      <w:r w:rsidR="00FA09A9">
        <w:t xml:space="preserve"> to demonstrate </w:t>
      </w:r>
      <w:r w:rsidR="0050005D">
        <w:t xml:space="preserve">its </w:t>
      </w:r>
      <w:r w:rsidR="00FA09A9">
        <w:t xml:space="preserve">feasibility </w:t>
      </w:r>
      <w:r w:rsidR="00860B07">
        <w:t xml:space="preserve">and benefits; </w:t>
      </w:r>
      <w:r w:rsidR="00267C97">
        <w:t xml:space="preserve">focusing efforts </w:t>
      </w:r>
      <w:r w:rsidR="00753586">
        <w:t xml:space="preserve">on countries/locations where there </w:t>
      </w:r>
      <w:r w:rsidR="00687156">
        <w:t xml:space="preserve">is already a commitment and systems to collect disability data in related fields, for example in population health statistical data; and focusing </w:t>
      </w:r>
      <w:r w:rsidR="008503BA">
        <w:t xml:space="preserve">efforts </w:t>
      </w:r>
      <w:r w:rsidR="00687156">
        <w:t xml:space="preserve">on </w:t>
      </w:r>
      <w:r w:rsidR="008503BA">
        <w:t xml:space="preserve">countries where one or more eye health NGOs play a significant </w:t>
      </w:r>
      <w:r w:rsidR="00066CFC">
        <w:t xml:space="preserve">and trusted </w:t>
      </w:r>
      <w:r w:rsidR="008503BA">
        <w:t>role in public eye health service delivery</w:t>
      </w:r>
      <w:r w:rsidR="00687156">
        <w:t>.</w:t>
      </w:r>
      <w:r w:rsidR="00711449">
        <w:t xml:space="preserve"> Key i</w:t>
      </w:r>
      <w:r w:rsidR="00066CFC">
        <w:t xml:space="preserve">nformants noted that </w:t>
      </w:r>
      <w:r w:rsidR="003F672A">
        <w:t xml:space="preserve">adapting a government HMIS is </w:t>
      </w:r>
      <w:proofErr w:type="gramStart"/>
      <w:r w:rsidR="003F672A">
        <w:t>challenging, and</w:t>
      </w:r>
      <w:proofErr w:type="gramEnd"/>
      <w:r w:rsidR="003F672A">
        <w:t xml:space="preserve"> is a medium- to long-term goal of inclusive eye health programs.</w:t>
      </w:r>
    </w:p>
    <w:p w14:paraId="77DE52C7" w14:textId="614EF1A6" w:rsidR="00DC2303" w:rsidRDefault="00DC2303" w:rsidP="008A0AF5">
      <w:pPr>
        <w:pStyle w:val="ListParagraph"/>
      </w:pPr>
      <w:r w:rsidRPr="00216ABC">
        <w:rPr>
          <w:b/>
          <w:bCs/>
        </w:rPr>
        <w:t xml:space="preserve">Routine </w:t>
      </w:r>
      <w:r w:rsidR="00DB5F94" w:rsidRPr="00216ABC">
        <w:rPr>
          <w:b/>
          <w:bCs/>
        </w:rPr>
        <w:t xml:space="preserve">data collection </w:t>
      </w:r>
      <w:r w:rsidR="00900070" w:rsidRPr="00216ABC">
        <w:rPr>
          <w:b/>
          <w:bCs/>
        </w:rPr>
        <w:t>parallel to HMIS</w:t>
      </w:r>
      <w:r w:rsidR="00FD5CA4">
        <w:t xml:space="preserve"> – </w:t>
      </w:r>
      <w:r w:rsidR="00E944A0">
        <w:t>where an HMIS is not collecting disability dat</w:t>
      </w:r>
      <w:r w:rsidR="00216ABC">
        <w:t xml:space="preserve">a, many eye health organisations have introduced separate systems to routinely collect patient data. This often involves health facility staff </w:t>
      </w:r>
      <w:r w:rsidR="00DF6231">
        <w:t>collect</w:t>
      </w:r>
      <w:r w:rsidR="00A24313">
        <w:t>ing</w:t>
      </w:r>
      <w:r w:rsidR="00DF6231">
        <w:t xml:space="preserve"> disability data after </w:t>
      </w:r>
      <w:r w:rsidR="00452FA8">
        <w:t xml:space="preserve">collecting </w:t>
      </w:r>
      <w:r w:rsidR="00B513E9">
        <w:t xml:space="preserve">other </w:t>
      </w:r>
      <w:r w:rsidR="00DF6231">
        <w:t xml:space="preserve">data </w:t>
      </w:r>
      <w:r w:rsidR="00452FA8">
        <w:t xml:space="preserve">that is </w:t>
      </w:r>
      <w:r w:rsidR="00B513E9">
        <w:t>routinely entered into the HMIS</w:t>
      </w:r>
      <w:r w:rsidR="00DF6231">
        <w:t>, and then enter</w:t>
      </w:r>
      <w:r w:rsidR="00B513E9">
        <w:t>ing</w:t>
      </w:r>
      <w:r w:rsidR="00DF6231">
        <w:t xml:space="preserve"> </w:t>
      </w:r>
      <w:r w:rsidR="00452FA8">
        <w:t xml:space="preserve">disability data </w:t>
      </w:r>
      <w:r w:rsidR="00DF6231">
        <w:t xml:space="preserve">into a </w:t>
      </w:r>
      <w:r w:rsidR="00B513E9">
        <w:t>parallel reporting system</w:t>
      </w:r>
      <w:r w:rsidR="00452FA8">
        <w:t xml:space="preserve">. This system may comprise an </w:t>
      </w:r>
      <w:r w:rsidR="00B513E9">
        <w:t>Excel spreadsheet</w:t>
      </w:r>
      <w:r w:rsidR="00CC3C9B">
        <w:t xml:space="preserve">, online data platform or paper-based record, with data usually being sent to the eye health </w:t>
      </w:r>
      <w:r w:rsidR="00CC3C9B" w:rsidRPr="00CC3C9B">
        <w:t>NGO</w:t>
      </w:r>
      <w:r w:rsidR="00CC3C9B">
        <w:t xml:space="preserve"> funding the work </w:t>
      </w:r>
      <w:r w:rsidR="001231A5">
        <w:t xml:space="preserve">for management and analysis. </w:t>
      </w:r>
      <w:r w:rsidR="00D90ECE">
        <w:t xml:space="preserve">Eye health NGOs would then use the data for their own internal and external reporting, and for </w:t>
      </w:r>
      <w:r w:rsidR="00845EF1">
        <w:t xml:space="preserve">evaluating DI and identifying opportunities to strengthen DI with the health facility. </w:t>
      </w:r>
      <w:r w:rsidR="00AC10D2">
        <w:t>Although this is resource intensive</w:t>
      </w:r>
      <w:r w:rsidR="0030486C">
        <w:t xml:space="preserve"> and potentially not sustainable</w:t>
      </w:r>
      <w:r w:rsidR="00AC10D2">
        <w:t xml:space="preserve">, some eye health NGOs (but not all) </w:t>
      </w:r>
      <w:r w:rsidR="00CB0821">
        <w:t xml:space="preserve">reported that this was critical for them to </w:t>
      </w:r>
      <w:r w:rsidR="006E5CB2">
        <w:t>evaluat</w:t>
      </w:r>
      <w:r w:rsidR="009037E9">
        <w:t>e</w:t>
      </w:r>
      <w:r w:rsidR="006E5CB2">
        <w:t xml:space="preserve"> disability inclusiveness, model good practice</w:t>
      </w:r>
      <w:r w:rsidR="00405484">
        <w:t>, demonstrate feasibility</w:t>
      </w:r>
      <w:r w:rsidR="006E5CB2">
        <w:t xml:space="preserve"> </w:t>
      </w:r>
      <w:r w:rsidR="00FF176B">
        <w:t xml:space="preserve">of disability data approaches </w:t>
      </w:r>
      <w:r w:rsidR="00405484">
        <w:t xml:space="preserve">and raise awareness </w:t>
      </w:r>
      <w:r w:rsidR="003C0444">
        <w:t>among health system stakeholders.</w:t>
      </w:r>
    </w:p>
    <w:p w14:paraId="60E93FAF" w14:textId="7BB7C58F" w:rsidR="00E024F4" w:rsidRDefault="006C47E4" w:rsidP="009E6FA6">
      <w:r>
        <w:t xml:space="preserve">While some </w:t>
      </w:r>
      <w:r w:rsidR="00D92C64">
        <w:t>key informants saw routine facility-based disability data as essential in all cases, others expressed th</w:t>
      </w:r>
      <w:r w:rsidR="00711449">
        <w:t>e</w:t>
      </w:r>
      <w:r w:rsidR="00D92C64">
        <w:t xml:space="preserve"> view that there </w:t>
      </w:r>
      <w:r w:rsidR="009E6FA6">
        <w:t xml:space="preserve">are many </w:t>
      </w:r>
      <w:r w:rsidR="009E6FA6" w:rsidRPr="00944F58">
        <w:rPr>
          <w:b/>
          <w:bCs/>
        </w:rPr>
        <w:t>c</w:t>
      </w:r>
      <w:r w:rsidR="00405AED" w:rsidRPr="00944F58">
        <w:rPr>
          <w:b/>
          <w:bCs/>
        </w:rPr>
        <w:t xml:space="preserve">ontexts where routine </w:t>
      </w:r>
      <w:r w:rsidR="00251051" w:rsidRPr="00944F58">
        <w:rPr>
          <w:b/>
          <w:bCs/>
        </w:rPr>
        <w:t xml:space="preserve">eye health </w:t>
      </w:r>
      <w:r w:rsidR="009E6FA6" w:rsidRPr="00944F58">
        <w:rPr>
          <w:b/>
          <w:bCs/>
        </w:rPr>
        <w:t xml:space="preserve">facility-based disability </w:t>
      </w:r>
      <w:r w:rsidR="00405AED" w:rsidRPr="00944F58">
        <w:rPr>
          <w:b/>
          <w:bCs/>
        </w:rPr>
        <w:t>data cannot feasibly be collected</w:t>
      </w:r>
      <w:r w:rsidR="00D92C64">
        <w:t>. This could be</w:t>
      </w:r>
      <w:r w:rsidR="00EA4E2A">
        <w:t xml:space="preserve"> due to resource constraints, lack of </w:t>
      </w:r>
      <w:r w:rsidR="00754FE1">
        <w:t xml:space="preserve">health facility/system management </w:t>
      </w:r>
      <w:r w:rsidR="00410C6E">
        <w:t>support, an assessment that available data systems are not fit for purpose,</w:t>
      </w:r>
      <w:r w:rsidR="00251051">
        <w:t xml:space="preserve"> or other contextual factors.</w:t>
      </w:r>
      <w:r w:rsidR="00FC0057">
        <w:t xml:space="preserve"> </w:t>
      </w:r>
      <w:r w:rsidR="00711449">
        <w:t xml:space="preserve">Some key informants expressed </w:t>
      </w:r>
      <w:r w:rsidR="00FC0057">
        <w:t xml:space="preserve">reservations about the cost effectiveness of </w:t>
      </w:r>
      <w:r w:rsidR="003A1909">
        <w:lastRenderedPageBreak/>
        <w:t xml:space="preserve">setting up parallel systems </w:t>
      </w:r>
      <w:r w:rsidR="004D3C8F">
        <w:t xml:space="preserve">for </w:t>
      </w:r>
      <w:r w:rsidR="00143E9B">
        <w:t xml:space="preserve">routine data collection, </w:t>
      </w:r>
      <w:r w:rsidR="004D3C8F">
        <w:t xml:space="preserve">and a preference for more targeted </w:t>
      </w:r>
      <w:r w:rsidR="003A1909">
        <w:t>data collection approaches.</w:t>
      </w:r>
      <w:r w:rsidR="00251051">
        <w:t xml:space="preserve"> </w:t>
      </w:r>
    </w:p>
    <w:p w14:paraId="0DA17E1B" w14:textId="7BA864EC" w:rsidR="003A1909" w:rsidRDefault="007257BA" w:rsidP="009E6FA6">
      <w:r>
        <w:t>T</w:t>
      </w:r>
      <w:r w:rsidR="009A2041">
        <w:t xml:space="preserve">he following approaches </w:t>
      </w:r>
      <w:r w:rsidR="00143E9B">
        <w:t xml:space="preserve">to </w:t>
      </w:r>
      <w:r w:rsidR="00143E9B" w:rsidRPr="00262A8E">
        <w:rPr>
          <w:b/>
          <w:bCs/>
        </w:rPr>
        <w:t xml:space="preserve">targeted </w:t>
      </w:r>
      <w:r w:rsidR="00262A8E" w:rsidRPr="00262A8E">
        <w:rPr>
          <w:b/>
          <w:bCs/>
        </w:rPr>
        <w:t>data collection</w:t>
      </w:r>
      <w:r w:rsidR="00262A8E">
        <w:t xml:space="preserve"> from eye health patients were found</w:t>
      </w:r>
      <w:r w:rsidR="009A2041">
        <w:t>:</w:t>
      </w:r>
    </w:p>
    <w:p w14:paraId="285AFA12" w14:textId="65D95CAC" w:rsidR="00A82464" w:rsidRDefault="00A82464" w:rsidP="009A2041">
      <w:pPr>
        <w:pStyle w:val="ListParagraph"/>
      </w:pPr>
      <w:r w:rsidRPr="00A20823">
        <w:rPr>
          <w:b/>
          <w:bCs/>
        </w:rPr>
        <w:t xml:space="preserve">Collecting no </w:t>
      </w:r>
      <w:r w:rsidR="00E7797B" w:rsidRPr="00A20823">
        <w:rPr>
          <w:b/>
          <w:bCs/>
        </w:rPr>
        <w:t xml:space="preserve">disability </w:t>
      </w:r>
      <w:r w:rsidRPr="00A20823">
        <w:rPr>
          <w:b/>
          <w:bCs/>
        </w:rPr>
        <w:t>data</w:t>
      </w:r>
      <w:r w:rsidR="005A7AA6">
        <w:rPr>
          <w:b/>
          <w:bCs/>
        </w:rPr>
        <w:t xml:space="preserve"> from eye health patients</w:t>
      </w:r>
      <w:r w:rsidR="00E7797B">
        <w:t xml:space="preserve"> </w:t>
      </w:r>
      <w:r w:rsidR="0025050D">
        <w:t>–</w:t>
      </w:r>
      <w:r w:rsidR="00E7797B">
        <w:t xml:space="preserve"> </w:t>
      </w:r>
      <w:r w:rsidR="00C83ACC">
        <w:t xml:space="preserve">some </w:t>
      </w:r>
      <w:r w:rsidR="007257BA">
        <w:t xml:space="preserve">key informants report making a </w:t>
      </w:r>
      <w:r w:rsidR="00C83ACC">
        <w:t xml:space="preserve">conscious decision not to support parallel disability data collection </w:t>
      </w:r>
      <w:r w:rsidR="007257BA">
        <w:t xml:space="preserve">in eye health facilities, </w:t>
      </w:r>
      <w:r w:rsidR="00C83ACC">
        <w:t xml:space="preserve">unless there is scope for </w:t>
      </w:r>
      <w:r w:rsidR="00B85C43">
        <w:t>disability data to be introduced into health facility/</w:t>
      </w:r>
      <w:r w:rsidR="00B57DE0">
        <w:t xml:space="preserve">sector systems. Instead, </w:t>
      </w:r>
      <w:r w:rsidR="003B3CEF">
        <w:t xml:space="preserve">they report prioritising efforts to </w:t>
      </w:r>
      <w:r w:rsidR="00AC0620">
        <w:t>identify and address barriers to disability inclusion, such as through accessibility audit processes</w:t>
      </w:r>
      <w:r w:rsidR="00A20823">
        <w:t>, and</w:t>
      </w:r>
      <w:r w:rsidR="003B3CEF">
        <w:t>/or</w:t>
      </w:r>
      <w:r w:rsidR="00A20823">
        <w:t xml:space="preserve"> longer-term advocacy for HMIS reform</w:t>
      </w:r>
      <w:r w:rsidR="00AC0620">
        <w:t xml:space="preserve">. </w:t>
      </w:r>
    </w:p>
    <w:p w14:paraId="652BBEB9" w14:textId="5AA2DE9B" w:rsidR="00A82464" w:rsidRDefault="005A7AA6" w:rsidP="009A2041">
      <w:pPr>
        <w:pStyle w:val="ListParagraph"/>
      </w:pPr>
      <w:r w:rsidRPr="005A7AA6">
        <w:rPr>
          <w:b/>
          <w:bCs/>
        </w:rPr>
        <w:t xml:space="preserve">Sampling </w:t>
      </w:r>
      <w:r w:rsidR="00A82464" w:rsidRPr="005A7AA6">
        <w:rPr>
          <w:b/>
          <w:bCs/>
        </w:rPr>
        <w:t>patients</w:t>
      </w:r>
      <w:r>
        <w:t xml:space="preserve"> –</w:t>
      </w:r>
      <w:r w:rsidR="006061A0">
        <w:t xml:space="preserve"> </w:t>
      </w:r>
      <w:r w:rsidR="00881E02">
        <w:t xml:space="preserve">two eye </w:t>
      </w:r>
      <w:r w:rsidR="003B3CEF">
        <w:t xml:space="preserve">key informants </w:t>
      </w:r>
      <w:r w:rsidR="006061A0">
        <w:t>report</w:t>
      </w:r>
      <w:r w:rsidR="003B3CEF">
        <w:t>ed</w:t>
      </w:r>
      <w:r w:rsidR="006061A0">
        <w:t xml:space="preserve"> </w:t>
      </w:r>
      <w:r w:rsidR="0069706D">
        <w:t xml:space="preserve">exploring </w:t>
      </w:r>
      <w:r w:rsidR="00881E02">
        <w:t xml:space="preserve">approaches whereby disability data at the </w:t>
      </w:r>
      <w:r w:rsidR="00AA5F35">
        <w:t xml:space="preserve">facility level is collected from a </w:t>
      </w:r>
      <w:r w:rsidR="0069706D">
        <w:t xml:space="preserve">random </w:t>
      </w:r>
      <w:r w:rsidR="00AA5F35">
        <w:t xml:space="preserve">sample of </w:t>
      </w:r>
      <w:r w:rsidR="00881E02">
        <w:t xml:space="preserve">eye </w:t>
      </w:r>
      <w:r w:rsidR="00AA5F35">
        <w:t>health patients.</w:t>
      </w:r>
      <w:r w:rsidR="00C03403">
        <w:t xml:space="preserve"> </w:t>
      </w:r>
      <w:r w:rsidR="00F47DC2">
        <w:t xml:space="preserve">In one </w:t>
      </w:r>
      <w:r w:rsidR="00D256CE">
        <w:t>example</w:t>
      </w:r>
      <w:r w:rsidR="00F47DC2">
        <w:t xml:space="preserve">, this was being done </w:t>
      </w:r>
      <w:r w:rsidR="004A48E4">
        <w:t xml:space="preserve">in contexts where the patient load was too high to feasibly collect disability data from every patient. In </w:t>
      </w:r>
      <w:r w:rsidR="0069706D">
        <w:t>an</w:t>
      </w:r>
      <w:r w:rsidR="004A48E4">
        <w:t xml:space="preserve">other </w:t>
      </w:r>
      <w:r w:rsidR="00D256CE">
        <w:t>example</w:t>
      </w:r>
      <w:r w:rsidR="004A48E4">
        <w:t xml:space="preserve">, </w:t>
      </w:r>
      <w:proofErr w:type="spellStart"/>
      <w:r w:rsidR="0069706D">
        <w:t>Sightsavers</w:t>
      </w:r>
      <w:proofErr w:type="spellEnd"/>
      <w:r w:rsidR="0069706D">
        <w:t xml:space="preserve"> </w:t>
      </w:r>
      <w:r w:rsidR="003B3CEF">
        <w:t xml:space="preserve">concluded </w:t>
      </w:r>
      <w:r w:rsidR="0069706D">
        <w:t xml:space="preserve">that </w:t>
      </w:r>
      <w:r w:rsidR="00A26CB0">
        <w:t xml:space="preserve">sampling can effectively measure levels of access to eye health services by persons with </w:t>
      </w:r>
      <w:proofErr w:type="gramStart"/>
      <w:r w:rsidR="00A26CB0">
        <w:t>disabilities, but</w:t>
      </w:r>
      <w:proofErr w:type="gramEnd"/>
      <w:r w:rsidR="00A26CB0">
        <w:t xml:space="preserve"> </w:t>
      </w:r>
      <w:r w:rsidR="00676BFD">
        <w:t xml:space="preserve">noted that </w:t>
      </w:r>
      <w:r w:rsidR="007B244A">
        <w:t xml:space="preserve">questions </w:t>
      </w:r>
      <w:r w:rsidR="00676BFD">
        <w:t xml:space="preserve">remain about </w:t>
      </w:r>
      <w:r w:rsidR="007B244A">
        <w:t xml:space="preserve">whether </w:t>
      </w:r>
      <w:r w:rsidR="00676BFD">
        <w:t xml:space="preserve">doing so </w:t>
      </w:r>
      <w:r w:rsidR="007B244A">
        <w:t xml:space="preserve">may </w:t>
      </w:r>
      <w:r w:rsidR="009A774D">
        <w:t>have implications for other purposes and benefits of data collection (e.g. providing referrals or building awareness</w:t>
      </w:r>
      <w:r w:rsidR="00D256CE">
        <w:t xml:space="preserve"> among staff).</w:t>
      </w:r>
      <w:r w:rsidR="006D0CF6">
        <w:rPr>
          <w:rStyle w:val="EndnoteReference"/>
        </w:rPr>
        <w:endnoteReference w:id="19"/>
      </w:r>
      <w:r w:rsidR="00D256CE">
        <w:t xml:space="preserve"> </w:t>
      </w:r>
      <w:r w:rsidR="000C514E">
        <w:t xml:space="preserve">Neither </w:t>
      </w:r>
      <w:r w:rsidR="00D256CE">
        <w:t xml:space="preserve">example </w:t>
      </w:r>
      <w:r w:rsidR="000C514E">
        <w:t xml:space="preserve">has </w:t>
      </w:r>
      <w:r w:rsidR="00243B6C">
        <w:t xml:space="preserve">yet generated findings </w:t>
      </w:r>
      <w:r w:rsidR="000C514E">
        <w:t xml:space="preserve">on the validity or relative advantages of </w:t>
      </w:r>
      <w:r w:rsidR="006D0CF6">
        <w:t>sampling approaches.</w:t>
      </w:r>
    </w:p>
    <w:p w14:paraId="3664CBF8" w14:textId="3881CC60" w:rsidR="00975B18" w:rsidRDefault="001C4298" w:rsidP="009A2041">
      <w:pPr>
        <w:pStyle w:val="ListParagraph"/>
      </w:pPr>
      <w:r w:rsidRPr="00554AEB">
        <w:rPr>
          <w:b/>
          <w:bCs/>
        </w:rPr>
        <w:t>Collecting qualitative</w:t>
      </w:r>
      <w:r w:rsidR="00A20823" w:rsidRPr="00554AEB">
        <w:rPr>
          <w:b/>
          <w:bCs/>
        </w:rPr>
        <w:t xml:space="preserve"> or other </w:t>
      </w:r>
      <w:r w:rsidRPr="00554AEB">
        <w:rPr>
          <w:b/>
          <w:bCs/>
        </w:rPr>
        <w:t>targeted data</w:t>
      </w:r>
      <w:r w:rsidR="003D3D05">
        <w:t xml:space="preserve"> – </w:t>
      </w:r>
      <w:r w:rsidR="00554AEB">
        <w:t>eye health organisation</w:t>
      </w:r>
      <w:r w:rsidR="003A0939">
        <w:t>s</w:t>
      </w:r>
      <w:r w:rsidR="00554AEB">
        <w:t xml:space="preserve"> are also collecting qualitative data relating to disability, including as part of context analysis and evaluation processes.</w:t>
      </w:r>
      <w:r w:rsidR="006827C7">
        <w:t xml:space="preserve"> Examples mentioned by key informants include</w:t>
      </w:r>
      <w:r w:rsidR="00B12D00">
        <w:t xml:space="preserve"> patient satisfaction questionnaires, observation visits to facilities by OPDs,</w:t>
      </w:r>
      <w:r w:rsidR="00553652">
        <w:t xml:space="preserve"> and focus group discussions.</w:t>
      </w:r>
      <w:r w:rsidR="00554AEB">
        <w:t xml:space="preserve"> </w:t>
      </w:r>
      <w:r w:rsidR="003A0939">
        <w:t xml:space="preserve">Although details of these approaches were not reviewed, </w:t>
      </w:r>
      <w:r w:rsidR="0002735C">
        <w:t xml:space="preserve">experience from development and humanitarian sectors suggests that qualitative information from persons with disabilities can provide highly relevant and </w:t>
      </w:r>
      <w:r w:rsidR="00F20D88">
        <w:t xml:space="preserve">useful information to inform the design </w:t>
      </w:r>
      <w:r w:rsidR="00553652">
        <w:t xml:space="preserve">and evaluation </w:t>
      </w:r>
      <w:r w:rsidR="00F20D88">
        <w:t>of disability inclusion measures.</w:t>
      </w:r>
    </w:p>
    <w:p w14:paraId="3540A06C" w14:textId="7191BB63" w:rsidR="00711158" w:rsidRDefault="00711158" w:rsidP="00711158">
      <w:pPr>
        <w:pStyle w:val="Heading3"/>
        <w:numPr>
          <w:ilvl w:val="2"/>
          <w:numId w:val="15"/>
        </w:numPr>
      </w:pPr>
      <w:r>
        <w:t>Discussion</w:t>
      </w:r>
    </w:p>
    <w:p w14:paraId="27345D91" w14:textId="1D76DB58" w:rsidR="001C4298" w:rsidRDefault="005C69FD" w:rsidP="00975B18">
      <w:r>
        <w:t xml:space="preserve">From the perspective of </w:t>
      </w:r>
      <w:r w:rsidR="00D94618">
        <w:t>data robustness</w:t>
      </w:r>
      <w:r w:rsidR="00361EF9">
        <w:t xml:space="preserve">, </w:t>
      </w:r>
      <w:r w:rsidR="00B7191B">
        <w:t xml:space="preserve">organisations seeking to understand </w:t>
      </w:r>
      <w:r w:rsidR="00D41C59">
        <w:t xml:space="preserve">equity of access to </w:t>
      </w:r>
      <w:r w:rsidR="00361EF9">
        <w:t xml:space="preserve">eye health </w:t>
      </w:r>
      <w:r w:rsidR="00D41C59">
        <w:t xml:space="preserve">services would </w:t>
      </w:r>
      <w:r w:rsidR="002451EE">
        <w:t xml:space="preserve">benefit from </w:t>
      </w:r>
      <w:r w:rsidR="00756F32">
        <w:t xml:space="preserve">using </w:t>
      </w:r>
      <w:r w:rsidR="00B7191B">
        <w:t xml:space="preserve">quality </w:t>
      </w:r>
      <w:r w:rsidR="00361EF9">
        <w:t>disability</w:t>
      </w:r>
      <w:r w:rsidR="00B7191B">
        <w:t>-disaggregated</w:t>
      </w:r>
      <w:r w:rsidR="00361EF9">
        <w:t xml:space="preserve"> data </w:t>
      </w:r>
      <w:r w:rsidR="00711158">
        <w:t xml:space="preserve">that is </w:t>
      </w:r>
      <w:r w:rsidR="00361EF9">
        <w:t xml:space="preserve">routinely collected from </w:t>
      </w:r>
      <w:r w:rsidR="00711158">
        <w:t xml:space="preserve">all </w:t>
      </w:r>
      <w:r w:rsidR="00361EF9">
        <w:t>persons accessing services.</w:t>
      </w:r>
      <w:r w:rsidR="00711158">
        <w:t xml:space="preserve"> </w:t>
      </w:r>
      <w:r w:rsidR="0093738D">
        <w:t xml:space="preserve">However, </w:t>
      </w:r>
      <w:r w:rsidR="001001FB">
        <w:t>this is rarely the case</w:t>
      </w:r>
      <w:r w:rsidR="00F04CAD">
        <w:t xml:space="preserve">. </w:t>
      </w:r>
      <w:r w:rsidR="002929AB">
        <w:t xml:space="preserve">In many contexts, eye health organisations are making decisions </w:t>
      </w:r>
      <w:r w:rsidR="00975B18" w:rsidRPr="002929AB">
        <w:rPr>
          <w:u w:val="single"/>
        </w:rPr>
        <w:t>not</w:t>
      </w:r>
      <w:r w:rsidR="00975B18">
        <w:t xml:space="preserve"> to collect disability data routinely </w:t>
      </w:r>
      <w:r w:rsidR="00805E5C">
        <w:t>from all eye health patients</w:t>
      </w:r>
      <w:r w:rsidR="002929AB">
        <w:t xml:space="preserve">. </w:t>
      </w:r>
      <w:r w:rsidR="00252366">
        <w:t xml:space="preserve">Key informants suggest that these decisions are </w:t>
      </w:r>
      <w:r w:rsidR="00805E5C">
        <w:t xml:space="preserve">based on </w:t>
      </w:r>
      <w:r w:rsidR="000D26A3">
        <w:t>pragmatic</w:t>
      </w:r>
      <w:r w:rsidR="00805E5C">
        <w:t xml:space="preserve"> </w:t>
      </w:r>
      <w:r w:rsidR="000D26A3">
        <w:t xml:space="preserve">assessments of </w:t>
      </w:r>
      <w:r w:rsidR="00D07B9A">
        <w:t xml:space="preserve">feasibility (e.g. relating to </w:t>
      </w:r>
      <w:r w:rsidR="00AC2777">
        <w:t xml:space="preserve">funding </w:t>
      </w:r>
      <w:r w:rsidR="000D26A3">
        <w:t>constraints or</w:t>
      </w:r>
      <w:r w:rsidR="004B0166">
        <w:t xml:space="preserve"> </w:t>
      </w:r>
      <w:r w:rsidR="00AC2777">
        <w:t>institutional capacity</w:t>
      </w:r>
      <w:r w:rsidR="00D07B9A">
        <w:t>)</w:t>
      </w:r>
      <w:r w:rsidR="001C7DDE">
        <w:t xml:space="preserve">; the value and relevance of such data are not doubted. </w:t>
      </w:r>
      <w:r w:rsidR="00A64DF3">
        <w:t xml:space="preserve">More </w:t>
      </w:r>
      <w:r w:rsidR="003C128B">
        <w:t xml:space="preserve">trialling and </w:t>
      </w:r>
      <w:r w:rsidR="003778F2">
        <w:t xml:space="preserve">evaluation </w:t>
      </w:r>
      <w:r w:rsidR="003F2FEB">
        <w:t xml:space="preserve">are </w:t>
      </w:r>
      <w:r w:rsidR="00033DBD">
        <w:t xml:space="preserve">needed </w:t>
      </w:r>
      <w:r w:rsidR="003C128B">
        <w:t xml:space="preserve">of </w:t>
      </w:r>
      <w:r w:rsidR="00247020">
        <w:t xml:space="preserve">eye health monitoring </w:t>
      </w:r>
      <w:r w:rsidR="00033DBD">
        <w:t xml:space="preserve">approaches </w:t>
      </w:r>
      <w:r w:rsidR="00247020">
        <w:t xml:space="preserve">that do not </w:t>
      </w:r>
      <w:r w:rsidR="00033DBD">
        <w:t>routine</w:t>
      </w:r>
      <w:r w:rsidR="00247020">
        <w:t>ly collect</w:t>
      </w:r>
      <w:r w:rsidR="00033DBD">
        <w:t xml:space="preserve"> patient disability data</w:t>
      </w:r>
      <w:r w:rsidR="003F2FEB">
        <w:t xml:space="preserve">, to document the </w:t>
      </w:r>
      <w:r w:rsidR="00AE1D72">
        <w:t xml:space="preserve">relative effectiveness </w:t>
      </w:r>
      <w:r w:rsidR="003F2FEB">
        <w:t>of such approaches in relation to progressing disability inclusive outcomes.</w:t>
      </w:r>
    </w:p>
    <w:p w14:paraId="74BF5020" w14:textId="63509AFE" w:rsidR="007A1BE5" w:rsidRDefault="009E5769" w:rsidP="00975B18">
      <w:r>
        <w:t>There is a</w:t>
      </w:r>
      <w:r w:rsidR="00905B0C">
        <w:t xml:space="preserve"> consensus </w:t>
      </w:r>
      <w:r w:rsidR="00DC0F3B">
        <w:t xml:space="preserve">in the literature and among key informants </w:t>
      </w:r>
      <w:r w:rsidR="00905B0C">
        <w:t xml:space="preserve">that </w:t>
      </w:r>
      <w:r w:rsidR="00124FA1">
        <w:t xml:space="preserve">routine individual patient </w:t>
      </w:r>
      <w:r w:rsidR="007460EF">
        <w:t xml:space="preserve">disability data is </w:t>
      </w:r>
      <w:r w:rsidR="00124FA1">
        <w:t xml:space="preserve">most efficiently and effectively collected through an HMIS, rather than a separate system, and that </w:t>
      </w:r>
      <w:r w:rsidR="004E4F6B">
        <w:t xml:space="preserve">instituting </w:t>
      </w:r>
      <w:r w:rsidR="00124FA1">
        <w:t xml:space="preserve">this is </w:t>
      </w:r>
      <w:r w:rsidR="004E4F6B">
        <w:t>a goal of disability-inclusive eye health</w:t>
      </w:r>
      <w:r w:rsidR="00D80A37">
        <w:t xml:space="preserve"> systems strengthening</w:t>
      </w:r>
      <w:r w:rsidR="00124FA1">
        <w:t xml:space="preserve">. </w:t>
      </w:r>
      <w:r w:rsidR="00D80A37">
        <w:t xml:space="preserve">There are divergent views around </w:t>
      </w:r>
      <w:r w:rsidR="009874AB">
        <w:t>how to reach this longer-term goal, and what approach should be implemented in the meantime.</w:t>
      </w:r>
      <w:r w:rsidR="006B700E">
        <w:t xml:space="preserve"> </w:t>
      </w:r>
      <w:r w:rsidR="00CC351D">
        <w:t xml:space="preserve">Eye health organisations </w:t>
      </w:r>
      <w:r w:rsidR="00303933">
        <w:t xml:space="preserve">may </w:t>
      </w:r>
      <w:r w:rsidR="00CC351D">
        <w:t>benefit from learning from</w:t>
      </w:r>
      <w:r w:rsidR="00303933">
        <w:t xml:space="preserve"> </w:t>
      </w:r>
      <w:r w:rsidR="00CC351D">
        <w:t xml:space="preserve">organisations working on disability data </w:t>
      </w:r>
      <w:r w:rsidR="0016669E">
        <w:t xml:space="preserve">within </w:t>
      </w:r>
      <w:r w:rsidR="00CC351D">
        <w:t xml:space="preserve">health system strengthening </w:t>
      </w:r>
      <w:r w:rsidR="0016669E">
        <w:t xml:space="preserve">programs </w:t>
      </w:r>
      <w:r w:rsidR="00CC351D">
        <w:t>outside o</w:t>
      </w:r>
      <w:r w:rsidR="0016669E">
        <w:t>f</w:t>
      </w:r>
      <w:r w:rsidR="00CC351D">
        <w:t xml:space="preserve"> the eye health sector. </w:t>
      </w:r>
      <w:r w:rsidR="003F0877">
        <w:t>C</w:t>
      </w:r>
      <w:r w:rsidR="00303933">
        <w:t>ollaborati</w:t>
      </w:r>
      <w:r w:rsidR="003F0877">
        <w:t xml:space="preserve">on outside of the eye health sector may also be beneficial, or indeed necessary in cases where </w:t>
      </w:r>
      <w:r w:rsidR="00B90914">
        <w:t>a government HMIS straddles eye health and other health subsectors.</w:t>
      </w:r>
    </w:p>
    <w:p w14:paraId="041022FC" w14:textId="5002BF68" w:rsidR="00FB6D0E" w:rsidRDefault="00D8148A" w:rsidP="00226B27">
      <w:pPr>
        <w:pStyle w:val="Heading2"/>
        <w:numPr>
          <w:ilvl w:val="1"/>
          <w:numId w:val="15"/>
        </w:numPr>
      </w:pPr>
      <w:bookmarkStart w:id="11" w:name="_Toc135388371"/>
      <w:r>
        <w:lastRenderedPageBreak/>
        <w:t>Feasibility, r</w:t>
      </w:r>
      <w:r w:rsidR="00FB6D0E">
        <w:t>esourcing and process considerations</w:t>
      </w:r>
      <w:bookmarkEnd w:id="11"/>
    </w:p>
    <w:p w14:paraId="6F7D5CBA" w14:textId="26C60C2C" w:rsidR="00DC0F3B" w:rsidRDefault="00DC0F3B" w:rsidP="00DC0F3B">
      <w:pPr>
        <w:pStyle w:val="Heading3"/>
        <w:numPr>
          <w:ilvl w:val="2"/>
          <w:numId w:val="15"/>
        </w:numPr>
      </w:pPr>
      <w:r>
        <w:t>Findings</w:t>
      </w:r>
    </w:p>
    <w:p w14:paraId="37494660" w14:textId="55B2E05E" w:rsidR="00336A50" w:rsidRDefault="00EC3D48" w:rsidP="00467244">
      <w:r>
        <w:t xml:space="preserve">Findings from the literature review and key informant interviews indicated </w:t>
      </w:r>
      <w:r w:rsidR="00E13D7C">
        <w:t xml:space="preserve">a range of </w:t>
      </w:r>
      <w:r w:rsidR="0084233D">
        <w:t xml:space="preserve">considerations relating to </w:t>
      </w:r>
      <w:r w:rsidR="00E13D7C">
        <w:t>feasibility</w:t>
      </w:r>
      <w:r w:rsidR="0084233D">
        <w:t>, resourcing and the design of disability data processes</w:t>
      </w:r>
      <w:r w:rsidR="00467244">
        <w:t xml:space="preserve"> that strongly influence the approach to</w:t>
      </w:r>
      <w:r>
        <w:t>,</w:t>
      </w:r>
      <w:r w:rsidR="00467244">
        <w:t xml:space="preserve"> and outcomes of</w:t>
      </w:r>
      <w:r>
        <w:t>,</w:t>
      </w:r>
      <w:r w:rsidR="00467244">
        <w:t xml:space="preserve"> disability data strengthening efforts in each context.</w:t>
      </w:r>
      <w:r w:rsidR="00336A50">
        <w:t xml:space="preserve"> </w:t>
      </w:r>
    </w:p>
    <w:p w14:paraId="2FA90308" w14:textId="4E15E3FF" w:rsidR="00E13D7C" w:rsidRDefault="00336A50" w:rsidP="00467244">
      <w:r>
        <w:t xml:space="preserve">The first set of these considerations relates to </w:t>
      </w:r>
      <w:r w:rsidRPr="00D77078">
        <w:rPr>
          <w:b/>
          <w:bCs/>
        </w:rPr>
        <w:t>disability data collection processes</w:t>
      </w:r>
      <w:r>
        <w:t xml:space="preserve"> </w:t>
      </w:r>
      <w:r w:rsidRPr="00D77078">
        <w:rPr>
          <w:b/>
          <w:bCs/>
        </w:rPr>
        <w:t>within eye health service delivery</w:t>
      </w:r>
      <w:r>
        <w:t xml:space="preserve">. </w:t>
      </w:r>
      <w:r w:rsidR="001726E0">
        <w:t xml:space="preserve">Eye health services in LMICs are commonly delivered </w:t>
      </w:r>
      <w:r w:rsidR="00D71D2C">
        <w:t xml:space="preserve">challenging and resource-constrained contexts. </w:t>
      </w:r>
      <w:r w:rsidR="00E35327">
        <w:t xml:space="preserve">Patient loads are high, </w:t>
      </w:r>
      <w:r w:rsidR="00B217DA">
        <w:t xml:space="preserve">staffing is limited and institutional and health system capacity </w:t>
      </w:r>
      <w:r w:rsidR="00B21957">
        <w:t xml:space="preserve">in relation to data is underdeveloped. </w:t>
      </w:r>
      <w:r w:rsidR="00486C0A">
        <w:t xml:space="preserve">Collecting eye health patient data </w:t>
      </w:r>
      <w:r w:rsidR="00F540AD">
        <w:t xml:space="preserve">was reported as </w:t>
      </w:r>
      <w:r w:rsidR="00486C0A">
        <w:t>particularly challenging in t</w:t>
      </w:r>
      <w:r w:rsidR="00F810F6">
        <w:t xml:space="preserve">he context of outreach clinics/camps, </w:t>
      </w:r>
      <w:r w:rsidR="00486C0A">
        <w:t xml:space="preserve">where </w:t>
      </w:r>
      <w:r w:rsidR="00F810F6">
        <w:t xml:space="preserve">there </w:t>
      </w:r>
      <w:r w:rsidR="00415DC6">
        <w:t xml:space="preserve">may be </w:t>
      </w:r>
      <w:r w:rsidR="00F810F6">
        <w:t>a</w:t>
      </w:r>
      <w:r w:rsidR="00486C0A">
        <w:t xml:space="preserve">n extremely high patient load, </w:t>
      </w:r>
      <w:r w:rsidR="00415DC6">
        <w:t xml:space="preserve">a disorderly registration </w:t>
      </w:r>
      <w:r w:rsidR="003E6223">
        <w:t>process</w:t>
      </w:r>
      <w:r w:rsidR="00A45F98">
        <w:t>, a reliance on paper-based systems</w:t>
      </w:r>
      <w:r w:rsidR="003E6223">
        <w:t xml:space="preserve"> and </w:t>
      </w:r>
      <w:r w:rsidR="00A45F98">
        <w:t xml:space="preserve">significant pressure on medical staff to deliver services as efficiently as possible. </w:t>
      </w:r>
      <w:r w:rsidR="00463DE0">
        <w:t>D</w:t>
      </w:r>
      <w:r w:rsidR="002107B7">
        <w:t>isability d</w:t>
      </w:r>
      <w:r w:rsidR="00463DE0">
        <w:t xml:space="preserve">ata collection in hospitals or clinics </w:t>
      </w:r>
      <w:r w:rsidR="00F540AD">
        <w:t xml:space="preserve">was </w:t>
      </w:r>
      <w:r w:rsidR="002107B7">
        <w:t>seen as more feasible, but nonetheless challenging</w:t>
      </w:r>
      <w:r w:rsidR="00845ABF">
        <w:t>.</w:t>
      </w:r>
      <w:r w:rsidR="002107B7">
        <w:t xml:space="preserve"> </w:t>
      </w:r>
    </w:p>
    <w:p w14:paraId="06463AB2" w14:textId="0FED5448" w:rsidR="000443EC" w:rsidRDefault="00007FAC" w:rsidP="00845ABF">
      <w:r>
        <w:t>In trying to work around these challenges, e</w:t>
      </w:r>
      <w:r w:rsidR="000443EC">
        <w:t xml:space="preserve">ye health </w:t>
      </w:r>
      <w:r>
        <w:t xml:space="preserve">organisations </w:t>
      </w:r>
      <w:r w:rsidR="000443EC">
        <w:t xml:space="preserve">have trialled disability </w:t>
      </w:r>
      <w:r w:rsidR="000443EC" w:rsidRPr="00D77078">
        <w:rPr>
          <w:b/>
          <w:bCs/>
        </w:rPr>
        <w:t>data collection at various points in the patient flow</w:t>
      </w:r>
      <w:r>
        <w:t xml:space="preserve">. </w:t>
      </w:r>
      <w:r w:rsidR="007B198D">
        <w:t xml:space="preserve">Examples from the literature and key informant interviews </w:t>
      </w:r>
      <w:r>
        <w:t>include:</w:t>
      </w:r>
    </w:p>
    <w:p w14:paraId="4F46730A" w14:textId="34DA7342" w:rsidR="000443EC" w:rsidRDefault="000443EC" w:rsidP="00007FAC">
      <w:pPr>
        <w:pStyle w:val="ListParagraph"/>
      </w:pPr>
      <w:r w:rsidRPr="00C16EDE">
        <w:rPr>
          <w:b/>
          <w:bCs/>
        </w:rPr>
        <w:t>Patient registration desk/form</w:t>
      </w:r>
      <w:r w:rsidR="00007FAC">
        <w:t xml:space="preserve"> – </w:t>
      </w:r>
      <w:r w:rsidR="00BC0DE1">
        <w:t>where</w:t>
      </w:r>
      <w:r w:rsidR="004C04D5">
        <w:t>by</w:t>
      </w:r>
      <w:r w:rsidR="00BC0DE1">
        <w:t xml:space="preserve"> disability data is collected alongside the collection of other patient data at the point of </w:t>
      </w:r>
      <w:r w:rsidR="003913F5">
        <w:t xml:space="preserve">registration. </w:t>
      </w:r>
      <w:r w:rsidR="00EB107E">
        <w:t xml:space="preserve">This </w:t>
      </w:r>
      <w:r w:rsidR="003913F5">
        <w:t xml:space="preserve">can </w:t>
      </w:r>
      <w:r w:rsidR="007B198D">
        <w:t xml:space="preserve">reportedly </w:t>
      </w:r>
      <w:r w:rsidR="003913F5">
        <w:t xml:space="preserve">create bottlenecks, as registration desks are </w:t>
      </w:r>
      <w:r w:rsidR="004C04D5">
        <w:t>often busy and under-resourced.</w:t>
      </w:r>
      <w:r w:rsidR="00E048A0">
        <w:t xml:space="preserve"> Some eye health NGOs have deliberately funded the employment of additional registration staff.</w:t>
      </w:r>
      <w:r w:rsidR="004C04D5">
        <w:t xml:space="preserve"> </w:t>
      </w:r>
      <w:r w:rsidR="007B198D">
        <w:t>P</w:t>
      </w:r>
      <w:r w:rsidR="004C04D5">
        <w:t xml:space="preserve">rivacy concerns </w:t>
      </w:r>
      <w:r w:rsidR="007B198D">
        <w:t xml:space="preserve">are also raised </w:t>
      </w:r>
      <w:r w:rsidR="004C04D5">
        <w:t>in some contexts, where the point of registration is very crowded.</w:t>
      </w:r>
    </w:p>
    <w:p w14:paraId="5CB81F32" w14:textId="7E26D634" w:rsidR="000443EC" w:rsidRDefault="000443EC" w:rsidP="004C04D5">
      <w:pPr>
        <w:pStyle w:val="ListParagraph"/>
      </w:pPr>
      <w:r w:rsidRPr="00C16EDE">
        <w:rPr>
          <w:b/>
          <w:bCs/>
        </w:rPr>
        <w:t>Eye health nurse/assistant examination</w:t>
      </w:r>
      <w:r w:rsidR="004C04D5">
        <w:t xml:space="preserve"> – whereby disability data is collected by the ophthalmic nurse/assistant when first examining the patient. This </w:t>
      </w:r>
      <w:r w:rsidR="007B198D">
        <w:t xml:space="preserve">is reported to </w:t>
      </w:r>
      <w:r w:rsidR="004C04D5">
        <w:t xml:space="preserve">allow for more privacy (in some contexts) and for information that may be perceived as personal or sensitive to be collected </w:t>
      </w:r>
      <w:r w:rsidR="00E048A0">
        <w:t xml:space="preserve">in a clinical treatment context. However, </w:t>
      </w:r>
      <w:r w:rsidR="00E4788D">
        <w:t xml:space="preserve">service providers have found </w:t>
      </w:r>
      <w:r w:rsidR="00E048A0">
        <w:t xml:space="preserve">it </w:t>
      </w:r>
      <w:r w:rsidR="00E4788D">
        <w:t xml:space="preserve">can </w:t>
      </w:r>
      <w:r w:rsidR="00E048A0">
        <w:t>place workload pressures on nurses</w:t>
      </w:r>
      <w:r w:rsidR="00CA646F">
        <w:t>/assistants, and some have reported that asking questions about disability made them feel awkward</w:t>
      </w:r>
      <w:r w:rsidR="00E048A0">
        <w:t xml:space="preserve">. </w:t>
      </w:r>
    </w:p>
    <w:p w14:paraId="1E91B5D4" w14:textId="32F476BD" w:rsidR="000443EC" w:rsidRDefault="00E048A0" w:rsidP="00E048A0">
      <w:pPr>
        <w:pStyle w:val="ListParagraph"/>
      </w:pPr>
      <w:r w:rsidRPr="00C16EDE">
        <w:rPr>
          <w:b/>
          <w:bCs/>
        </w:rPr>
        <w:t>Employing a</w:t>
      </w:r>
      <w:r w:rsidR="000443EC" w:rsidRPr="00C16EDE">
        <w:rPr>
          <w:b/>
          <w:bCs/>
        </w:rPr>
        <w:t>dditional data collectors</w:t>
      </w:r>
      <w:r>
        <w:t xml:space="preserve"> </w:t>
      </w:r>
      <w:r w:rsidR="008D2D37">
        <w:t>–</w:t>
      </w:r>
      <w:r w:rsidR="0091713B">
        <w:t xml:space="preserve"> </w:t>
      </w:r>
      <w:r w:rsidR="008D2D37">
        <w:t>in India</w:t>
      </w:r>
      <w:r w:rsidR="00056C12">
        <w:t xml:space="preserve"> and Malawi</w:t>
      </w:r>
      <w:r w:rsidR="008D2D37">
        <w:t xml:space="preserve">, </w:t>
      </w:r>
      <w:proofErr w:type="spellStart"/>
      <w:r w:rsidR="008D2D37">
        <w:t>Sightsavers</w:t>
      </w:r>
      <w:proofErr w:type="spellEnd"/>
      <w:r w:rsidR="008D2D37">
        <w:t xml:space="preserve"> found it beneficial to employ</w:t>
      </w:r>
      <w:r w:rsidR="00CA646F">
        <w:t xml:space="preserve"> additional data collectors who administered disability data surveys to patients after they had been </w:t>
      </w:r>
      <w:r w:rsidR="0091713B">
        <w:t>seen by an ophthalmic nurse/assistant</w:t>
      </w:r>
      <w:r w:rsidR="00056C12">
        <w:t>. This was seen as the optimum point</w:t>
      </w:r>
      <w:r w:rsidR="0091713B">
        <w:t xml:space="preserve">, </w:t>
      </w:r>
      <w:r w:rsidR="00056C12">
        <w:t xml:space="preserve">as patients are either </w:t>
      </w:r>
      <w:r w:rsidR="0091713B">
        <w:t>waiting to see an optometrist</w:t>
      </w:r>
      <w:r w:rsidR="00056C12">
        <w:t xml:space="preserve"> (if required) or on their way home</w:t>
      </w:r>
      <w:r w:rsidR="004C27A4">
        <w:t xml:space="preserve"> (if they did not have any eye health problems)</w:t>
      </w:r>
      <w:r w:rsidR="0091713B">
        <w:t xml:space="preserve">. This </w:t>
      </w:r>
      <w:r w:rsidR="0092741F">
        <w:t xml:space="preserve">required additional resourcing (and therefore may not be sustainable without </w:t>
      </w:r>
      <w:proofErr w:type="spellStart"/>
      <w:r w:rsidR="0092741F">
        <w:t>Sightsavers</w:t>
      </w:r>
      <w:proofErr w:type="spellEnd"/>
      <w:r w:rsidR="0092741F">
        <w:t xml:space="preserve">’ funding) but avoided interrupting the patient flow in busy </w:t>
      </w:r>
      <w:r w:rsidR="00E470F5">
        <w:t>hospital and camp settings</w:t>
      </w:r>
      <w:r w:rsidR="0092741F">
        <w:t xml:space="preserve">. It also mitigated some privacy concerns, as waiting </w:t>
      </w:r>
      <w:r w:rsidR="00E470F5">
        <w:t xml:space="preserve">areas </w:t>
      </w:r>
      <w:r w:rsidR="0092741F">
        <w:t>were less crowded than the point of registration.</w:t>
      </w:r>
    </w:p>
    <w:p w14:paraId="56F958BC" w14:textId="3E228A29" w:rsidR="000443EC" w:rsidRDefault="000443EC" w:rsidP="0092741F">
      <w:pPr>
        <w:pStyle w:val="ListParagraph"/>
      </w:pPr>
      <w:r w:rsidRPr="00C16EDE">
        <w:rPr>
          <w:b/>
          <w:bCs/>
        </w:rPr>
        <w:t xml:space="preserve">Exit/follow-up </w:t>
      </w:r>
      <w:r w:rsidR="0092741F" w:rsidRPr="00C16EDE">
        <w:rPr>
          <w:b/>
          <w:bCs/>
        </w:rPr>
        <w:t>interview</w:t>
      </w:r>
      <w:r w:rsidR="0092741F">
        <w:t xml:space="preserve"> </w:t>
      </w:r>
      <w:r w:rsidR="007F793E">
        <w:t>–</w:t>
      </w:r>
      <w:r w:rsidR="0092741F">
        <w:t xml:space="preserve"> </w:t>
      </w:r>
      <w:r w:rsidR="0014595D">
        <w:t xml:space="preserve">one </w:t>
      </w:r>
      <w:r w:rsidR="00E4788D">
        <w:t xml:space="preserve">key </w:t>
      </w:r>
      <w:r w:rsidR="0014595D">
        <w:t xml:space="preserve">informant reported </w:t>
      </w:r>
      <w:r w:rsidR="006A11F3">
        <w:t xml:space="preserve">collecting disability data via </w:t>
      </w:r>
      <w:r w:rsidR="00926678">
        <w:t>exit interviews</w:t>
      </w:r>
      <w:r w:rsidR="006A11F3">
        <w:t xml:space="preserve">, as this was seen as easier to </w:t>
      </w:r>
      <w:r w:rsidR="00F6579E">
        <w:t xml:space="preserve">control and manage as it sat outside the regular patient flow. </w:t>
      </w:r>
      <w:r w:rsidR="00CE763F">
        <w:t xml:space="preserve">Examples of follow-up interviews conducted </w:t>
      </w:r>
      <w:proofErr w:type="spellStart"/>
      <w:r w:rsidR="00CE763F">
        <w:t>some time</w:t>
      </w:r>
      <w:proofErr w:type="spellEnd"/>
      <w:r w:rsidR="00CE763F">
        <w:t xml:space="preserve"> after attending the eye health service were not found for this review, although one key informant noted that they are exploring this option.</w:t>
      </w:r>
    </w:p>
    <w:p w14:paraId="6D616A42" w14:textId="5929106E" w:rsidR="00A77FD1" w:rsidRDefault="009B0DAD" w:rsidP="00A77FD1">
      <w:r>
        <w:lastRenderedPageBreak/>
        <w:t xml:space="preserve">Several eye health organisations report that the </w:t>
      </w:r>
      <w:r w:rsidR="00AC4CD2" w:rsidRPr="00AC4CD2">
        <w:rPr>
          <w:b/>
          <w:bCs/>
        </w:rPr>
        <w:t xml:space="preserve">process of collecting </w:t>
      </w:r>
      <w:r w:rsidRPr="00AC4CD2">
        <w:rPr>
          <w:b/>
          <w:bCs/>
        </w:rPr>
        <w:t xml:space="preserve">data </w:t>
      </w:r>
      <w:r w:rsidR="007A64D9" w:rsidRPr="00AC4CD2">
        <w:rPr>
          <w:b/>
          <w:bCs/>
        </w:rPr>
        <w:t xml:space="preserve">directly from persons with disabilities has important </w:t>
      </w:r>
      <w:r w:rsidR="00AC4CD2" w:rsidRPr="00AC4CD2">
        <w:rPr>
          <w:b/>
          <w:bCs/>
        </w:rPr>
        <w:t xml:space="preserve">awareness raising </w:t>
      </w:r>
      <w:r w:rsidR="007A64D9" w:rsidRPr="00AC4CD2">
        <w:rPr>
          <w:b/>
          <w:bCs/>
        </w:rPr>
        <w:t>outcomes</w:t>
      </w:r>
      <w:r w:rsidR="007A64D9">
        <w:t xml:space="preserve"> for the health personnel involved in these tasks. </w:t>
      </w:r>
      <w:r w:rsidR="009508EA">
        <w:t>Health p</w:t>
      </w:r>
      <w:r w:rsidR="00691348">
        <w:t xml:space="preserve">ersonnel have reportedly </w:t>
      </w:r>
      <w:r w:rsidR="00860438">
        <w:t xml:space="preserve">gained </w:t>
      </w:r>
      <w:r w:rsidR="00D072B7">
        <w:t xml:space="preserve">awareness of </w:t>
      </w:r>
      <w:r w:rsidR="009508EA">
        <w:t xml:space="preserve">disability, the diversity of disability and barriers faced by persons with disabilities </w:t>
      </w:r>
      <w:proofErr w:type="gramStart"/>
      <w:r w:rsidR="009508EA">
        <w:t>as a result of</w:t>
      </w:r>
      <w:proofErr w:type="gramEnd"/>
      <w:r w:rsidR="009508EA">
        <w:t xml:space="preserve"> being trained on and using the WG questions. </w:t>
      </w:r>
      <w:r w:rsidR="004B1078">
        <w:t>In one example, f</w:t>
      </w:r>
      <w:r w:rsidR="000E7A0C">
        <w:t>rontline eye health workers report</w:t>
      </w:r>
      <w:r w:rsidR="004B1078">
        <w:t>ed</w:t>
      </w:r>
      <w:r w:rsidR="000E7A0C">
        <w:t xml:space="preserve"> feeling closer to the disability community and motivated to provide information on relevant services, </w:t>
      </w:r>
      <w:proofErr w:type="gramStart"/>
      <w:r w:rsidR="000E7A0C">
        <w:t>as a result of</w:t>
      </w:r>
      <w:proofErr w:type="gramEnd"/>
      <w:r w:rsidR="000E7A0C">
        <w:t xml:space="preserve"> their experience of interacting with persons with disabilities as part of data collection. </w:t>
      </w:r>
    </w:p>
    <w:p w14:paraId="6334445E" w14:textId="57B0F772" w:rsidR="00F07F78" w:rsidRDefault="007C32A7" w:rsidP="00F6579E">
      <w:r>
        <w:t xml:space="preserve">Literature and key informants reported </w:t>
      </w:r>
      <w:r w:rsidR="00BF304E">
        <w:t xml:space="preserve">that </w:t>
      </w:r>
      <w:r w:rsidR="0032196E" w:rsidRPr="00A95E82">
        <w:rPr>
          <w:b/>
          <w:bCs/>
        </w:rPr>
        <w:t xml:space="preserve">significant resourcing </w:t>
      </w:r>
      <w:r w:rsidRPr="00A95E82">
        <w:rPr>
          <w:b/>
          <w:bCs/>
        </w:rPr>
        <w:t xml:space="preserve">was </w:t>
      </w:r>
      <w:r w:rsidR="0032196E" w:rsidRPr="00A95E82">
        <w:rPr>
          <w:b/>
          <w:bCs/>
        </w:rPr>
        <w:t>required</w:t>
      </w:r>
      <w:r w:rsidR="0032196E">
        <w:t xml:space="preserve"> in order establish disability data collecti</w:t>
      </w:r>
      <w:r w:rsidR="008F1618">
        <w:t>on</w:t>
      </w:r>
      <w:r w:rsidR="0032196E">
        <w:t xml:space="preserve"> in eye health facilities and ensure its quality.</w:t>
      </w:r>
      <w:r w:rsidR="0069594B">
        <w:t xml:space="preserve"> </w:t>
      </w:r>
      <w:r w:rsidR="0032196E">
        <w:t xml:space="preserve"> </w:t>
      </w:r>
      <w:r w:rsidR="00F07F78">
        <w:t>For example, e</w:t>
      </w:r>
      <w:r w:rsidR="008F1618">
        <w:t xml:space="preserve">ye health </w:t>
      </w:r>
      <w:r w:rsidR="009A3186">
        <w:t xml:space="preserve">NGOs </w:t>
      </w:r>
      <w:r w:rsidR="008F1618">
        <w:t>have allocated resources to</w:t>
      </w:r>
      <w:r w:rsidR="00F07F78">
        <w:t>:</w:t>
      </w:r>
      <w:r w:rsidR="008F1618">
        <w:t xml:space="preserve"> </w:t>
      </w:r>
    </w:p>
    <w:p w14:paraId="18459CDB" w14:textId="103B8242" w:rsidR="00F07F78" w:rsidRDefault="00F07F78" w:rsidP="00F07F78">
      <w:pPr>
        <w:pStyle w:val="ListParagraph"/>
      </w:pPr>
      <w:r>
        <w:t>F</w:t>
      </w:r>
      <w:r w:rsidR="00387092">
        <w:t>unding additional staff roles</w:t>
      </w:r>
      <w:r w:rsidR="00E361F7">
        <w:t xml:space="preserve"> in eye health facilities</w:t>
      </w:r>
      <w:r w:rsidR="00387092">
        <w:t xml:space="preserve"> (e.g. registration staff or dedicated data collectors)</w:t>
      </w:r>
    </w:p>
    <w:p w14:paraId="5600D20D" w14:textId="52724EA2" w:rsidR="003429CE" w:rsidRDefault="003429CE" w:rsidP="00F07F78">
      <w:pPr>
        <w:pStyle w:val="ListParagraph"/>
      </w:pPr>
      <w:r>
        <w:t>Collecting disability data themselves</w:t>
      </w:r>
    </w:p>
    <w:p w14:paraId="128490CA" w14:textId="3471C0E9" w:rsidR="00F07F78" w:rsidRDefault="00F07F78" w:rsidP="00F07F78">
      <w:pPr>
        <w:pStyle w:val="ListParagraph"/>
      </w:pPr>
      <w:r>
        <w:t>D</w:t>
      </w:r>
      <w:r w:rsidR="00E361F7">
        <w:t>esigning and delivering training to facility staff (both once-off and repeat/refresher)</w:t>
      </w:r>
    </w:p>
    <w:p w14:paraId="2BA612A2" w14:textId="0E7C9A7D" w:rsidR="00556A98" w:rsidRDefault="00830D13" w:rsidP="00830D13">
      <w:pPr>
        <w:pStyle w:val="ListParagraph"/>
      </w:pPr>
      <w:r>
        <w:t>C</w:t>
      </w:r>
      <w:r w:rsidR="005B55B0">
        <w:t>oordinat</w:t>
      </w:r>
      <w:r>
        <w:t>ing</w:t>
      </w:r>
      <w:r w:rsidR="005B55B0">
        <w:t xml:space="preserve"> and </w:t>
      </w:r>
      <w:r>
        <w:t xml:space="preserve">advocating on </w:t>
      </w:r>
      <w:r w:rsidR="005B55B0">
        <w:t xml:space="preserve">disability data </w:t>
      </w:r>
      <w:r>
        <w:t>among government agencies</w:t>
      </w:r>
    </w:p>
    <w:p w14:paraId="6FC8D2A7" w14:textId="2AE1FD46" w:rsidR="000443EC" w:rsidRDefault="00F07F78" w:rsidP="00F07F78">
      <w:pPr>
        <w:pStyle w:val="ListParagraph"/>
      </w:pPr>
      <w:r>
        <w:t>A</w:t>
      </w:r>
      <w:r w:rsidR="005B55B0">
        <w:t>rranging translation and cognitive testing of the WG questions</w:t>
      </w:r>
    </w:p>
    <w:p w14:paraId="3ABE3F25" w14:textId="2F98BBB6" w:rsidR="009A3186" w:rsidRDefault="009A3186" w:rsidP="00F07F78">
      <w:pPr>
        <w:pStyle w:val="ListParagraph"/>
      </w:pPr>
      <w:r>
        <w:t>Setting up parallel routine data collection systems</w:t>
      </w:r>
    </w:p>
    <w:p w14:paraId="11660931" w14:textId="6A750B5A" w:rsidR="009A3186" w:rsidRDefault="009A3186" w:rsidP="00F07F78">
      <w:pPr>
        <w:pStyle w:val="ListParagraph"/>
      </w:pPr>
      <w:r>
        <w:t xml:space="preserve">Using their own </w:t>
      </w:r>
      <w:r w:rsidR="003429CE">
        <w:t xml:space="preserve">MEL </w:t>
      </w:r>
      <w:r>
        <w:t xml:space="preserve">systems </w:t>
      </w:r>
      <w:r w:rsidR="003429CE">
        <w:t>and staff to manage and analyse data</w:t>
      </w:r>
    </w:p>
    <w:p w14:paraId="27415CF5" w14:textId="0F740578" w:rsidR="009E00AC" w:rsidRDefault="009E00AC" w:rsidP="00F07F78">
      <w:pPr>
        <w:pStyle w:val="ListParagraph"/>
      </w:pPr>
      <w:r>
        <w:t>Commissioning population studies</w:t>
      </w:r>
    </w:p>
    <w:p w14:paraId="1DDFF564" w14:textId="16B07D8F" w:rsidR="00231450" w:rsidRDefault="00450255" w:rsidP="00450255">
      <w:r>
        <w:t xml:space="preserve">Among these efforts, there is a </w:t>
      </w:r>
      <w:r w:rsidR="00A95E82">
        <w:t xml:space="preserve">reported </w:t>
      </w:r>
      <w:r>
        <w:t xml:space="preserve">focus on </w:t>
      </w:r>
      <w:r w:rsidRPr="00CB1D94">
        <w:rPr>
          <w:b/>
          <w:bCs/>
        </w:rPr>
        <w:t xml:space="preserve">training and </w:t>
      </w:r>
      <w:r w:rsidR="000443EC" w:rsidRPr="00CB1D94">
        <w:rPr>
          <w:b/>
          <w:bCs/>
        </w:rPr>
        <w:t>quality control</w:t>
      </w:r>
      <w:r>
        <w:t>. Eye health NGOs report</w:t>
      </w:r>
      <w:r w:rsidR="00A95E82">
        <w:t>ed</w:t>
      </w:r>
      <w:r>
        <w:t xml:space="preserve"> that training is needed on the specific data collection tools being used (e.g. the WG-SS), as well as on broader disability awareness/sensitivity and inclusive communication. </w:t>
      </w:r>
      <w:r w:rsidR="00A87875">
        <w:t xml:space="preserve">They </w:t>
      </w:r>
      <w:r w:rsidR="00A95E82">
        <w:t xml:space="preserve">reported </w:t>
      </w:r>
      <w:r w:rsidR="00A87875">
        <w:t xml:space="preserve">that </w:t>
      </w:r>
      <w:r w:rsidR="000030F8">
        <w:t xml:space="preserve">one-off upfront training </w:t>
      </w:r>
      <w:r w:rsidR="00AA7749">
        <w:t>wa</w:t>
      </w:r>
      <w:r w:rsidR="000030F8">
        <w:t xml:space="preserve">s often insufficient; refresher training </w:t>
      </w:r>
      <w:r w:rsidR="00AA7749">
        <w:t>wa</w:t>
      </w:r>
      <w:r w:rsidR="00F11E33">
        <w:t xml:space="preserve">s also seen as necessary, and follow-up coaching or support from NGO staff </w:t>
      </w:r>
      <w:r w:rsidR="00AA7749">
        <w:t>wa</w:t>
      </w:r>
      <w:r w:rsidR="00F11E33">
        <w:t>s seen as valuable. Eye health NGOs also recommend</w:t>
      </w:r>
      <w:r w:rsidR="00AA7749">
        <w:t>ed</w:t>
      </w:r>
      <w:r w:rsidR="00F11E33">
        <w:t xml:space="preserve"> including management staff in training, as well as data collectors, to build awareness and ownership within management.</w:t>
      </w:r>
      <w:r w:rsidR="00404A15">
        <w:t xml:space="preserve"> </w:t>
      </w:r>
      <w:r w:rsidR="00231450">
        <w:t>Quality control efforts</w:t>
      </w:r>
      <w:r w:rsidR="008D467D">
        <w:t xml:space="preserve">, such as conducting </w:t>
      </w:r>
      <w:r w:rsidR="007D6000">
        <w:t xml:space="preserve">spot </w:t>
      </w:r>
      <w:r w:rsidR="008D467D">
        <w:t>checks on facility data</w:t>
      </w:r>
      <w:r w:rsidR="00404A15">
        <w:t xml:space="preserve"> or </w:t>
      </w:r>
      <w:r w:rsidR="007D6000">
        <w:t>reviewing/cleaning data,</w:t>
      </w:r>
      <w:r w:rsidR="008D467D">
        <w:t xml:space="preserve"> </w:t>
      </w:r>
      <w:r w:rsidR="00AA7749">
        <w:t>we</w:t>
      </w:r>
      <w:r w:rsidR="00231450">
        <w:t xml:space="preserve">re also </w:t>
      </w:r>
      <w:r w:rsidR="00AA7749">
        <w:t xml:space="preserve">reported to be </w:t>
      </w:r>
      <w:r w:rsidR="007D6000">
        <w:t>helpful</w:t>
      </w:r>
      <w:r w:rsidR="00231450">
        <w:t xml:space="preserve">. </w:t>
      </w:r>
    </w:p>
    <w:p w14:paraId="517EBC88" w14:textId="49AE7941" w:rsidR="00E1599C" w:rsidRPr="00F4501E" w:rsidRDefault="00DA178F" w:rsidP="00E1599C">
      <w:r>
        <w:t xml:space="preserve">Some </w:t>
      </w:r>
      <w:r w:rsidR="00090407">
        <w:t xml:space="preserve">key informants </w:t>
      </w:r>
      <w:r>
        <w:t>report</w:t>
      </w:r>
      <w:r w:rsidR="00090407">
        <w:t>ed</w:t>
      </w:r>
      <w:r>
        <w:t xml:space="preserve"> that</w:t>
      </w:r>
      <w:r w:rsidR="00090407">
        <w:t>,</w:t>
      </w:r>
      <w:r>
        <w:t xml:space="preserve"> despite investing significantly in training, they still feel that data collection is not being done well or that disability data is not valued by eye health facility staff or management, and hence that the data collected is of low quality.</w:t>
      </w:r>
      <w:r w:rsidR="00CA20CD">
        <w:t xml:space="preserve"> </w:t>
      </w:r>
      <w:r w:rsidR="00F4501E">
        <w:t>They particularly note the n</w:t>
      </w:r>
      <w:r w:rsidR="00E1599C" w:rsidRPr="00E1599C">
        <w:t xml:space="preserve">eed to </w:t>
      </w:r>
      <w:r w:rsidR="00F4501E">
        <w:t xml:space="preserve">explain the </w:t>
      </w:r>
      <w:r w:rsidR="00E1599C" w:rsidRPr="00E1599C">
        <w:t xml:space="preserve">purpose and </w:t>
      </w:r>
      <w:r w:rsidR="00F4501E">
        <w:t xml:space="preserve">demonstrate the </w:t>
      </w:r>
      <w:r w:rsidR="00E1599C" w:rsidRPr="00E1599C">
        <w:t>value of WG</w:t>
      </w:r>
      <w:r w:rsidR="00F4501E">
        <w:t xml:space="preserve"> or other </w:t>
      </w:r>
      <w:r w:rsidR="00E1599C" w:rsidRPr="00E1599C">
        <w:t xml:space="preserve">questions </w:t>
      </w:r>
      <w:r w:rsidR="00F4501E">
        <w:t xml:space="preserve">on functioning </w:t>
      </w:r>
      <w:r w:rsidR="00E1599C" w:rsidRPr="00E1599C">
        <w:t xml:space="preserve">among </w:t>
      </w:r>
      <w:r w:rsidR="00F4501E">
        <w:t>medical personnel, to whom the questions might appear irrelevant</w:t>
      </w:r>
      <w:r w:rsidR="00E1599C" w:rsidRPr="00E1599C">
        <w:t xml:space="preserve">. As one </w:t>
      </w:r>
      <w:r w:rsidR="00090407">
        <w:t xml:space="preserve">key </w:t>
      </w:r>
      <w:r w:rsidR="00E1599C" w:rsidRPr="00E1599C">
        <w:t xml:space="preserve">informant noted, </w:t>
      </w:r>
      <w:r w:rsidR="00E1599C" w:rsidRPr="00E1599C">
        <w:rPr>
          <w:i/>
          <w:iCs/>
        </w:rPr>
        <w:t>“Disability data is not at all on the agenda for clinical people – we need to work with them over a long time to convince them. It's quite challenging.”</w:t>
      </w:r>
      <w:r w:rsidR="00F4501E">
        <w:t xml:space="preserve"> Nevertheless, examples </w:t>
      </w:r>
      <w:r w:rsidR="00090407">
        <w:t xml:space="preserve">were reported </w:t>
      </w:r>
      <w:r w:rsidR="00F4501E">
        <w:t xml:space="preserve">of </w:t>
      </w:r>
      <w:r w:rsidR="005D0100">
        <w:t xml:space="preserve">disability data </w:t>
      </w:r>
      <w:r w:rsidR="00090407">
        <w:t xml:space="preserve">collection </w:t>
      </w:r>
      <w:r w:rsidR="005D0100">
        <w:t xml:space="preserve">being successfully embedded within an eye health facility, and frontline and management staff </w:t>
      </w:r>
      <w:r w:rsidR="00AB1064">
        <w:t>starting to use the data and see its value.</w:t>
      </w:r>
    </w:p>
    <w:p w14:paraId="25F0E20B" w14:textId="1AC27DF1" w:rsidR="00D7571B" w:rsidRDefault="003A4B6A" w:rsidP="00FD2B9E">
      <w:r>
        <w:t xml:space="preserve">Several </w:t>
      </w:r>
      <w:r w:rsidR="00583399">
        <w:t xml:space="preserve">key informants </w:t>
      </w:r>
      <w:r>
        <w:t xml:space="preserve">reported that when </w:t>
      </w:r>
      <w:r w:rsidR="00C86DA2">
        <w:t>disability data is not well understood or valued</w:t>
      </w:r>
      <w:r w:rsidR="008827C7">
        <w:t xml:space="preserve"> by health facility stakeholders</w:t>
      </w:r>
      <w:r w:rsidR="00C86DA2">
        <w:t xml:space="preserve">, </w:t>
      </w:r>
      <w:r w:rsidR="008827C7">
        <w:t xml:space="preserve">data </w:t>
      </w:r>
      <w:r w:rsidR="00F31773">
        <w:t xml:space="preserve">quality falls. </w:t>
      </w:r>
      <w:r w:rsidR="00247223">
        <w:t xml:space="preserve">Reported </w:t>
      </w:r>
      <w:r w:rsidR="00627E74">
        <w:t>example</w:t>
      </w:r>
      <w:r w:rsidR="00247223">
        <w:t xml:space="preserve">s of this included </w:t>
      </w:r>
      <w:r w:rsidR="00627E74">
        <w:t>data be</w:t>
      </w:r>
      <w:r w:rsidR="00247223">
        <w:t>ing</w:t>
      </w:r>
      <w:r w:rsidR="00627E74">
        <w:t xml:space="preserve"> collected only from some patients</w:t>
      </w:r>
      <w:r w:rsidR="00EF4668">
        <w:t xml:space="preserve">, questionnaires </w:t>
      </w:r>
      <w:r w:rsidR="00247223">
        <w:t xml:space="preserve">being </w:t>
      </w:r>
      <w:r w:rsidR="00627E74">
        <w:t xml:space="preserve">abbreviated or </w:t>
      </w:r>
      <w:r w:rsidR="00247223">
        <w:t xml:space="preserve">filled out directly </w:t>
      </w:r>
      <w:r w:rsidR="00627E74">
        <w:t xml:space="preserve">by enumerators, </w:t>
      </w:r>
      <w:r w:rsidR="00F31773">
        <w:t>or data sit</w:t>
      </w:r>
      <w:r w:rsidR="00247223">
        <w:t>ting</w:t>
      </w:r>
      <w:r w:rsidR="00F31773">
        <w:t xml:space="preserve"> in a hospital system and remain</w:t>
      </w:r>
      <w:r w:rsidR="00527F66">
        <w:t>ing</w:t>
      </w:r>
      <w:r w:rsidR="00F31773">
        <w:t xml:space="preserve"> unused</w:t>
      </w:r>
      <w:r w:rsidR="00EF4668">
        <w:t xml:space="preserve">. </w:t>
      </w:r>
      <w:r w:rsidR="00527F66">
        <w:t>It was reported that</w:t>
      </w:r>
      <w:r w:rsidR="00F359C9">
        <w:t xml:space="preserve"> in some cases</w:t>
      </w:r>
      <w:r w:rsidR="00527F66">
        <w:t xml:space="preserve"> where </w:t>
      </w:r>
      <w:r w:rsidR="00EF4668">
        <w:t xml:space="preserve">disability data </w:t>
      </w:r>
      <w:r w:rsidR="00F359C9">
        <w:t>wa</w:t>
      </w:r>
      <w:r w:rsidR="00EF4668">
        <w:t xml:space="preserve">s introduced as a requirement </w:t>
      </w:r>
      <w:r w:rsidR="00407969">
        <w:t xml:space="preserve">of </w:t>
      </w:r>
      <w:r w:rsidR="00527F66">
        <w:t xml:space="preserve">an </w:t>
      </w:r>
      <w:r w:rsidR="00407969">
        <w:lastRenderedPageBreak/>
        <w:t xml:space="preserve">eye health </w:t>
      </w:r>
      <w:r w:rsidR="00EF4668">
        <w:t xml:space="preserve">NGO </w:t>
      </w:r>
      <w:r w:rsidR="00407969">
        <w:t xml:space="preserve">or its back donor, </w:t>
      </w:r>
      <w:r w:rsidR="00F359C9">
        <w:t xml:space="preserve">it was </w:t>
      </w:r>
      <w:r w:rsidR="00407969">
        <w:t xml:space="preserve">not seen as </w:t>
      </w:r>
      <w:r w:rsidR="00367A8D">
        <w:t xml:space="preserve">intrinsically </w:t>
      </w:r>
      <w:r w:rsidR="00407969">
        <w:t xml:space="preserve">relevant or useful </w:t>
      </w:r>
      <w:r w:rsidR="003408CE">
        <w:t xml:space="preserve">by hospital </w:t>
      </w:r>
      <w:r w:rsidR="00367A8D">
        <w:t>staff.</w:t>
      </w:r>
      <w:r w:rsidR="006B07B9">
        <w:t xml:space="preserve"> Eye health organisations </w:t>
      </w:r>
      <w:r w:rsidR="006E3E9F">
        <w:t xml:space="preserve">reported finding </w:t>
      </w:r>
      <w:r w:rsidR="008377A3">
        <w:t xml:space="preserve">it helpful </w:t>
      </w:r>
      <w:r w:rsidR="0032323E">
        <w:t xml:space="preserve">to introduce disability data measures alongside </w:t>
      </w:r>
      <w:r w:rsidR="008377A3">
        <w:t xml:space="preserve">or after </w:t>
      </w:r>
      <w:r w:rsidR="0032323E">
        <w:t xml:space="preserve">broader approaches to inclusion, </w:t>
      </w:r>
      <w:r w:rsidR="008377A3">
        <w:t xml:space="preserve">so that </w:t>
      </w:r>
      <w:r w:rsidR="004D0446">
        <w:t xml:space="preserve">awareness </w:t>
      </w:r>
      <w:r w:rsidR="006E3E9F">
        <w:t xml:space="preserve">of </w:t>
      </w:r>
      <w:r w:rsidR="004D0446">
        <w:t xml:space="preserve">and demand </w:t>
      </w:r>
      <w:r w:rsidR="006E3E9F">
        <w:t xml:space="preserve">for data </w:t>
      </w:r>
      <w:r w:rsidR="004D0446">
        <w:t>are established, or to package disability data together with wider data strengthening work with hospitals.</w:t>
      </w:r>
      <w:r w:rsidR="00FD2B9E">
        <w:t xml:space="preserve"> One </w:t>
      </w:r>
      <w:r w:rsidR="006E3E9F">
        <w:t xml:space="preserve">key </w:t>
      </w:r>
      <w:r w:rsidR="00FD2B9E">
        <w:t>informant recommended p</w:t>
      </w:r>
      <w:r w:rsidR="00D7571B">
        <w:t xml:space="preserve">hasing </w:t>
      </w:r>
      <w:r w:rsidR="00FD2B9E">
        <w:t xml:space="preserve">in </w:t>
      </w:r>
      <w:r w:rsidR="00D7571B">
        <w:t>incremental disability data strengthening measures</w:t>
      </w:r>
      <w:r w:rsidR="00FD2B9E">
        <w:t xml:space="preserve"> over time, </w:t>
      </w:r>
      <w:r w:rsidR="00CF0555">
        <w:t xml:space="preserve">so that a start can be made with </w:t>
      </w:r>
      <w:r w:rsidR="000443EC">
        <w:t>whatever is feasible, and then quality</w:t>
      </w:r>
      <w:r w:rsidR="00CF0555">
        <w:t xml:space="preserve"> and </w:t>
      </w:r>
      <w:r w:rsidR="000443EC">
        <w:t xml:space="preserve">complexity </w:t>
      </w:r>
      <w:r w:rsidR="00B57D3C">
        <w:t xml:space="preserve">can be </w:t>
      </w:r>
      <w:r w:rsidR="00CF0555">
        <w:t xml:space="preserve">added </w:t>
      </w:r>
      <w:r w:rsidR="000443EC">
        <w:t xml:space="preserve">over time </w:t>
      </w:r>
      <w:r w:rsidR="00282F94">
        <w:t xml:space="preserve">as increased </w:t>
      </w:r>
      <w:r w:rsidR="000443EC">
        <w:t xml:space="preserve">buy-in and capacity </w:t>
      </w:r>
      <w:r w:rsidR="00282F94">
        <w:t>are generated.</w:t>
      </w:r>
    </w:p>
    <w:p w14:paraId="1B66BB37" w14:textId="57C47055" w:rsidR="00384489" w:rsidRDefault="00384489" w:rsidP="00384489">
      <w:pPr>
        <w:pStyle w:val="Heading3"/>
        <w:numPr>
          <w:ilvl w:val="2"/>
          <w:numId w:val="15"/>
        </w:numPr>
      </w:pPr>
      <w:r>
        <w:t>Discussion</w:t>
      </w:r>
    </w:p>
    <w:p w14:paraId="4D3EF7C5" w14:textId="58BF666E" w:rsidR="005F2A56" w:rsidRDefault="005F2A56" w:rsidP="00FD2B9E">
      <w:r>
        <w:t>Eye health organisations have found that the process of data collection – who collects data and from whom, how it is collected, what types of data are collected – matters.</w:t>
      </w:r>
      <w:r w:rsidR="00C77260">
        <w:t xml:space="preserve"> </w:t>
      </w:r>
      <w:r w:rsidR="000973E4">
        <w:t xml:space="preserve">Collection of eye health patient data poses </w:t>
      </w:r>
      <w:r w:rsidR="00C77260">
        <w:t>significant logistical and resourcing challenges</w:t>
      </w:r>
      <w:r w:rsidR="00097F5B">
        <w:t xml:space="preserve">, with implications for the sustainability of disability data efforts, </w:t>
      </w:r>
      <w:r w:rsidR="00384489">
        <w:t>the quality of data and the experiences of patients – including in relation to ethical principles such as privacy.</w:t>
      </w:r>
      <w:r w:rsidR="003A5027">
        <w:t xml:space="preserve"> The level of resourcing, training and technical </w:t>
      </w:r>
      <w:r w:rsidR="00770A0D">
        <w:t xml:space="preserve">support </w:t>
      </w:r>
      <w:r w:rsidR="003A5027">
        <w:t>required will depend on each context</w:t>
      </w:r>
      <w:r w:rsidR="00C95F59">
        <w:t>, and eye health organisations may have to consider</w:t>
      </w:r>
      <w:r w:rsidR="0032159D">
        <w:t xml:space="preserve"> </w:t>
      </w:r>
      <w:r w:rsidR="00E72CE7">
        <w:t xml:space="preserve">adjusting </w:t>
      </w:r>
      <w:r w:rsidR="00C95F59">
        <w:t xml:space="preserve">the </w:t>
      </w:r>
      <w:r w:rsidR="007D4D40">
        <w:t xml:space="preserve">approach, speed and scale with which disability data initiatives are introduced </w:t>
      </w:r>
      <w:proofErr w:type="gramStart"/>
      <w:r w:rsidR="00E72CE7">
        <w:t>in order to</w:t>
      </w:r>
      <w:proofErr w:type="gramEnd"/>
      <w:r w:rsidR="00E72CE7">
        <w:t xml:space="preserve"> best achieve lasting </w:t>
      </w:r>
      <w:r w:rsidR="00092DAF">
        <w:t>improvements in disability inclusive service delivery.</w:t>
      </w:r>
    </w:p>
    <w:p w14:paraId="2C800FEA" w14:textId="34D9156E" w:rsidR="00CC3032" w:rsidRDefault="00CC3032" w:rsidP="00FD2B9E">
      <w:r>
        <w:t>A determinant of success in efforts to introduce facility-level disability data collection may be the ways in which disability data is presented to health facility or system staff, and the processes used to introduce and communicate disability data collection.</w:t>
      </w:r>
      <w:r w:rsidR="00132B27">
        <w:t xml:space="preserve"> </w:t>
      </w:r>
      <w:r w:rsidR="00FF4F3D">
        <w:t xml:space="preserve">Key </w:t>
      </w:r>
      <w:r w:rsidR="00C9377D">
        <w:t>here is t</w:t>
      </w:r>
      <w:r w:rsidR="005472F1">
        <w:t xml:space="preserve">he extent to which </w:t>
      </w:r>
      <w:r w:rsidR="001303FE">
        <w:t xml:space="preserve">eye health personnel and management </w:t>
      </w:r>
      <w:r w:rsidR="003C27BE">
        <w:t xml:space="preserve">are committed to disability inclusion, </w:t>
      </w:r>
      <w:r w:rsidR="001303FE">
        <w:t>see the value of disability data</w:t>
      </w:r>
      <w:r w:rsidR="003C27BE">
        <w:t xml:space="preserve"> and understand</w:t>
      </w:r>
      <w:r w:rsidR="001303FE">
        <w:t xml:space="preserve"> its role in supporting their service mandate</w:t>
      </w:r>
      <w:r w:rsidR="00C9377D">
        <w:t xml:space="preserve">. </w:t>
      </w:r>
      <w:r w:rsidR="00267370">
        <w:t>Being clear on the purpose for which data is being collected</w:t>
      </w:r>
      <w:r w:rsidR="006F26CB">
        <w:t xml:space="preserve"> (see Section 3.2 above) and ensuring data </w:t>
      </w:r>
      <w:r w:rsidR="00C53B2A">
        <w:t xml:space="preserve">efforts </w:t>
      </w:r>
      <w:r w:rsidR="00E2257A">
        <w:t xml:space="preserve">are driven by a shared commitment and </w:t>
      </w:r>
      <w:r w:rsidR="00583399">
        <w:t>intention to strengthen service equity and inclusion are also likely to be important.</w:t>
      </w:r>
    </w:p>
    <w:p w14:paraId="3404C683" w14:textId="2A254906" w:rsidR="007C174D" w:rsidRDefault="005E29A1" w:rsidP="00FD2B9E">
      <w:r>
        <w:t>As</w:t>
      </w:r>
      <w:r w:rsidR="00927410">
        <w:t>ide from the benefits of using disability data, t</w:t>
      </w:r>
      <w:r>
        <w:t>he</w:t>
      </w:r>
      <w:r w:rsidR="003D11E0">
        <w:t xml:space="preserve"> potential for disability data collection processes to raise awareness and </w:t>
      </w:r>
      <w:r>
        <w:t xml:space="preserve">transform attitudes among health personnel is an important consideration. </w:t>
      </w:r>
      <w:r w:rsidR="00092DAF">
        <w:t xml:space="preserve">The experience </w:t>
      </w:r>
      <w:r w:rsidR="00A056E9">
        <w:t xml:space="preserve">of eye health organisations in this regard </w:t>
      </w:r>
      <w:r w:rsidR="00092DAF">
        <w:t>reflects that of many development and humanitarian workers, who have reported awareness and attitude change among project teams as one of the most common and significant outcomes of using the WG questions.</w:t>
      </w:r>
      <w:r w:rsidR="00092DAF">
        <w:rPr>
          <w:rStyle w:val="EndnoteReference"/>
        </w:rPr>
        <w:endnoteReference w:id="20"/>
      </w:r>
      <w:r w:rsidR="00092DAF">
        <w:t xml:space="preserve"> </w:t>
      </w:r>
      <w:r w:rsidR="007C174D">
        <w:t xml:space="preserve">Although it is possible that some of these outcomes could have been achieved through means other than data processes, the potential of data processes to raise awareness and change attitudes </w:t>
      </w:r>
      <w:r w:rsidR="00A95E82">
        <w:t xml:space="preserve">and serve as a starting point for taking further action towards disability inclusion </w:t>
      </w:r>
      <w:r w:rsidR="007C174D">
        <w:t>should be considered when designing disability data approaches.</w:t>
      </w:r>
    </w:p>
    <w:p w14:paraId="7C01F0E9" w14:textId="1A2D58B2" w:rsidR="00511764" w:rsidRDefault="00511764" w:rsidP="00FD2B9E">
      <w:r>
        <w:t>The findings presented here and in the previous section (</w:t>
      </w:r>
      <w:r w:rsidR="00555BE2">
        <w:t xml:space="preserve">3.5; on routine versus targeted data collection) </w:t>
      </w:r>
      <w:r w:rsidR="00365EEF">
        <w:t xml:space="preserve">should all be considered when making decisions about whether and how to design disability data approaches </w:t>
      </w:r>
      <w:r w:rsidR="00175445">
        <w:t>within eye health facilities or systems</w:t>
      </w:r>
      <w:r w:rsidR="005671B2">
        <w:t>.</w:t>
      </w:r>
      <w:r w:rsidR="007158CA">
        <w:t xml:space="preserve"> </w:t>
      </w:r>
      <w:r w:rsidR="004E2716">
        <w:t xml:space="preserve">Practical guidance for those designing such approaches could draw from these findings, as well as from the experiences of development and humanitarian organisations in deploying disability data </w:t>
      </w:r>
      <w:r w:rsidR="00CD29D8">
        <w:t xml:space="preserve">mechanisms. (For example, </w:t>
      </w:r>
      <w:r w:rsidR="00983D8D">
        <w:t>guidance could draw from the general experiences of development NGOs in using the WG questions</w:t>
      </w:r>
      <w:r w:rsidR="00533997">
        <w:rPr>
          <w:rStyle w:val="EndnoteReference"/>
        </w:rPr>
        <w:endnoteReference w:id="21"/>
      </w:r>
      <w:r w:rsidR="00983D8D">
        <w:t xml:space="preserve"> or from the World Food Programme’s </w:t>
      </w:r>
      <w:r w:rsidR="00A71EAD">
        <w:t xml:space="preserve">identified criteria to support decision making regarding </w:t>
      </w:r>
      <w:r w:rsidR="00E04A9E">
        <w:t>DDD</w:t>
      </w:r>
      <w:r w:rsidR="00E04A9E">
        <w:rPr>
          <w:rStyle w:val="EndnoteReference"/>
        </w:rPr>
        <w:endnoteReference w:id="22"/>
      </w:r>
      <w:r w:rsidR="00E04A9E">
        <w:t>.)</w:t>
      </w:r>
    </w:p>
    <w:p w14:paraId="2355116C" w14:textId="074F30CF" w:rsidR="0036117A" w:rsidRDefault="0036117A" w:rsidP="00226B27">
      <w:pPr>
        <w:pStyle w:val="Heading2"/>
        <w:numPr>
          <w:ilvl w:val="1"/>
          <w:numId w:val="15"/>
        </w:numPr>
      </w:pPr>
      <w:bookmarkStart w:id="12" w:name="_Toc135388372"/>
      <w:r>
        <w:lastRenderedPageBreak/>
        <w:t>Ethical considerations</w:t>
      </w:r>
      <w:bookmarkEnd w:id="12"/>
    </w:p>
    <w:p w14:paraId="4ADC9192" w14:textId="4A005E74" w:rsidR="0014590E" w:rsidRDefault="0014590E" w:rsidP="0014590E">
      <w:pPr>
        <w:pStyle w:val="Heading3"/>
        <w:numPr>
          <w:ilvl w:val="2"/>
          <w:numId w:val="15"/>
        </w:numPr>
      </w:pPr>
      <w:r>
        <w:t>Findings</w:t>
      </w:r>
    </w:p>
    <w:p w14:paraId="59AFB855" w14:textId="2E388F42" w:rsidR="00D60907" w:rsidRDefault="0014590E" w:rsidP="00755B61">
      <w:r>
        <w:t xml:space="preserve">Key </w:t>
      </w:r>
      <w:r w:rsidR="006F2E69">
        <w:t xml:space="preserve">ethical considerations </w:t>
      </w:r>
      <w:r>
        <w:t xml:space="preserve">relating to disability data and eye health reported in the literature and key informant interviews </w:t>
      </w:r>
      <w:r w:rsidR="006F2E69">
        <w:t>can be grouped into three categories</w:t>
      </w:r>
      <w:r w:rsidR="00E92793">
        <w:t>:</w:t>
      </w:r>
      <w:r w:rsidR="006F2E69">
        <w:t xml:space="preserve"> </w:t>
      </w:r>
    </w:p>
    <w:p w14:paraId="78EF807A" w14:textId="2123E81D" w:rsidR="00FF0CD5" w:rsidRPr="00FF0CD5" w:rsidRDefault="00E92793" w:rsidP="00FF0CD5">
      <w:pPr>
        <w:pStyle w:val="Numberedlist"/>
      </w:pPr>
      <w:r w:rsidRPr="00E92793">
        <w:rPr>
          <w:b/>
          <w:bCs/>
        </w:rPr>
        <w:t>Managing expectations and providing referrals</w:t>
      </w:r>
      <w:r>
        <w:t xml:space="preserve"> – </w:t>
      </w:r>
      <w:r w:rsidR="00547C3E">
        <w:t xml:space="preserve">eye health organisations have found that </w:t>
      </w:r>
      <w:r>
        <w:t xml:space="preserve">when a person is asked questions about their disability, difficulties with daily functioning or barriers to accessing health care, it </w:t>
      </w:r>
      <w:r w:rsidR="00E5121C">
        <w:t xml:space="preserve">may create an expectation that some service or benefit will be provided to them in response. </w:t>
      </w:r>
      <w:r w:rsidR="00904A23">
        <w:t xml:space="preserve">Eye health organisations have found it helpful to </w:t>
      </w:r>
      <w:r w:rsidR="00B55136">
        <w:t>clearly communicat</w:t>
      </w:r>
      <w:r w:rsidR="00904A23">
        <w:t>e</w:t>
      </w:r>
      <w:r w:rsidR="00B55136">
        <w:t xml:space="preserve"> the purpose of data collection</w:t>
      </w:r>
      <w:r w:rsidR="00350FF6">
        <w:t xml:space="preserve"> to participants, </w:t>
      </w:r>
      <w:r w:rsidR="00C60BA9">
        <w:t>ensur</w:t>
      </w:r>
      <w:r w:rsidR="00350FF6">
        <w:t>e</w:t>
      </w:r>
      <w:r w:rsidR="00C60BA9">
        <w:t xml:space="preserve"> that measures are in place to provide reasonable accommodations (for persons who require them as part of accessing eye health services) </w:t>
      </w:r>
      <w:r w:rsidR="008144F2">
        <w:t xml:space="preserve">and </w:t>
      </w:r>
      <w:r w:rsidR="00350FF6">
        <w:t xml:space="preserve">provide </w:t>
      </w:r>
      <w:r w:rsidR="00F86023">
        <w:t xml:space="preserve">referral information to other services (for persons who may potentially benefit from additional services beyond eye health). </w:t>
      </w:r>
      <w:r w:rsidR="00FF0CD5">
        <w:t xml:space="preserve">As one key informant said, </w:t>
      </w:r>
      <w:r w:rsidR="00FF0CD5" w:rsidRPr="00FF0CD5">
        <w:rPr>
          <w:i/>
          <w:iCs/>
        </w:rPr>
        <w:t>“We should never be collecting data on disability if we're not able to provide supportive services.”</w:t>
      </w:r>
      <w:r w:rsidR="00FF0CD5">
        <w:t xml:space="preserve"> </w:t>
      </w:r>
    </w:p>
    <w:p w14:paraId="2C706F34" w14:textId="3670F58E" w:rsidR="006F2E69" w:rsidRDefault="005618AD" w:rsidP="00E92793">
      <w:pPr>
        <w:pStyle w:val="Numberedlist"/>
      </w:pPr>
      <w:r>
        <w:rPr>
          <w:b/>
          <w:bCs/>
        </w:rPr>
        <w:t xml:space="preserve">Cultural sensitivity </w:t>
      </w:r>
      <w:r>
        <w:t xml:space="preserve">– there are mixed reports relating to the </w:t>
      </w:r>
      <w:r w:rsidR="008D0AE1">
        <w:t xml:space="preserve">cultural sensitivity of asking </w:t>
      </w:r>
      <w:r w:rsidR="00C456DB">
        <w:t xml:space="preserve">questions about disability, mostly relating to use of the WG-SS. Some eye health </w:t>
      </w:r>
      <w:r w:rsidR="00D013DC">
        <w:t xml:space="preserve">organisations </w:t>
      </w:r>
      <w:r w:rsidR="00C456DB">
        <w:t>report</w:t>
      </w:r>
      <w:r w:rsidR="00547C3E">
        <w:t>ed</w:t>
      </w:r>
      <w:r w:rsidR="00C456DB">
        <w:t xml:space="preserve"> </w:t>
      </w:r>
      <w:r w:rsidR="00547C3E">
        <w:t xml:space="preserve">that </w:t>
      </w:r>
      <w:r w:rsidR="00C456DB">
        <w:t xml:space="preserve">the WG-SS questions </w:t>
      </w:r>
      <w:r w:rsidR="003A0AF0">
        <w:t xml:space="preserve">were </w:t>
      </w:r>
      <w:r w:rsidR="00C456DB">
        <w:t>seen as inappropriate or insensitive by data collectors or patients</w:t>
      </w:r>
      <w:r w:rsidR="003A0AF0">
        <w:t xml:space="preserve"> at the facility level</w:t>
      </w:r>
      <w:r w:rsidR="00C456DB">
        <w:t xml:space="preserve">. </w:t>
      </w:r>
      <w:r w:rsidR="00D013DC">
        <w:t>For example, one eye health organisation omitted the question on self-care/washing all over</w:t>
      </w:r>
      <w:r w:rsidR="003A0AF0">
        <w:t xml:space="preserve"> from their patient questionnaire</w:t>
      </w:r>
      <w:r w:rsidR="00D013DC">
        <w:t>, as this was seen as offensive. Other organisations, however, report</w:t>
      </w:r>
      <w:r w:rsidR="00547C3E">
        <w:t>ed</w:t>
      </w:r>
      <w:r w:rsidR="00D013DC">
        <w:t xml:space="preserve"> that the WG-SS has been effectively and sensitively used in a range of different cultural contexts, without such issues. </w:t>
      </w:r>
      <w:r w:rsidR="000E4F67">
        <w:t xml:space="preserve">One organisation reported that the WG-SS questions were seen </w:t>
      </w:r>
      <w:r w:rsidR="00EC7A06">
        <w:t>a</w:t>
      </w:r>
      <w:r w:rsidR="000E4F67">
        <w:t xml:space="preserve">s </w:t>
      </w:r>
      <w:r w:rsidR="00EC7A06">
        <w:t xml:space="preserve">intrusive </w:t>
      </w:r>
      <w:r w:rsidR="001E4D99">
        <w:t xml:space="preserve">or </w:t>
      </w:r>
      <w:r w:rsidR="00EC7A06">
        <w:t xml:space="preserve">insensitive </w:t>
      </w:r>
      <w:r w:rsidR="001E4D99">
        <w:t xml:space="preserve">by </w:t>
      </w:r>
      <w:r w:rsidR="001B4DF7">
        <w:t xml:space="preserve">persons without disabilities primarily from middle-class neighbourhoods, while persons with disabilities </w:t>
      </w:r>
      <w:r w:rsidR="00B772B2">
        <w:t xml:space="preserve">were more likely </w:t>
      </w:r>
      <w:r w:rsidR="00DA03A8">
        <w:t>to find the questions appro</w:t>
      </w:r>
      <w:r w:rsidR="00B772B2">
        <w:t xml:space="preserve">priate and welcome the opportunity to talk about barriers they </w:t>
      </w:r>
      <w:r w:rsidR="00FA7D7B">
        <w:t>experience.</w:t>
      </w:r>
    </w:p>
    <w:p w14:paraId="2395DEFD" w14:textId="6ECC4281" w:rsidR="0036117A" w:rsidRDefault="00A1761E" w:rsidP="0033302F">
      <w:pPr>
        <w:pStyle w:val="Numberedlist"/>
      </w:pPr>
      <w:r w:rsidRPr="00BF4FFF">
        <w:rPr>
          <w:b/>
          <w:bCs/>
        </w:rPr>
        <w:t>Data privacy</w:t>
      </w:r>
      <w:r w:rsidR="00BF4FFF">
        <w:t xml:space="preserve"> –</w:t>
      </w:r>
      <w:r w:rsidR="002B78CC">
        <w:t xml:space="preserve"> </w:t>
      </w:r>
      <w:r w:rsidR="00250B11">
        <w:t>E</w:t>
      </w:r>
      <w:r w:rsidR="00D970DC">
        <w:t xml:space="preserve">xamples </w:t>
      </w:r>
      <w:r w:rsidR="00250B11">
        <w:t xml:space="preserve">of privacy considerations reported in the literature and key informant interviews </w:t>
      </w:r>
      <w:r w:rsidR="00074DBF">
        <w:t xml:space="preserve">include </w:t>
      </w:r>
      <w:r w:rsidR="00D970DC">
        <w:t>issues with collecting data in crowded eye health facilities; broader privacy issues with under-developed hospital data systems; and the need to d</w:t>
      </w:r>
      <w:r w:rsidR="004D1FDA">
        <w:t>eidentify patient data.</w:t>
      </w:r>
    </w:p>
    <w:p w14:paraId="75E451BB" w14:textId="14C99647" w:rsidR="0014590E" w:rsidRDefault="0014590E" w:rsidP="0014590E">
      <w:pPr>
        <w:pStyle w:val="Heading3"/>
        <w:numPr>
          <w:ilvl w:val="2"/>
          <w:numId w:val="15"/>
        </w:numPr>
      </w:pPr>
      <w:r>
        <w:t>Discussion</w:t>
      </w:r>
    </w:p>
    <w:p w14:paraId="08E905D7" w14:textId="04F6629E" w:rsidR="00B57D3C" w:rsidRDefault="00B57D3C" w:rsidP="00B57D3C">
      <w:r>
        <w:t>Collecting data on disability from individual persons raises several ethical issues.</w:t>
      </w:r>
      <w:r w:rsidR="00FF3B69">
        <w:t xml:space="preserve"> Information about disability can be seen as deeply personal and private, and its disclosure can have real and perceived negative impacts for persons in some contexts. This </w:t>
      </w:r>
      <w:r w:rsidR="001B7135">
        <w:t xml:space="preserve">may be </w:t>
      </w:r>
      <w:r w:rsidR="00FF3B69">
        <w:t xml:space="preserve">particularly the case in a health context, where historically some persons with disabilities have been denied autonomy or legal personhood in relation to healthcare decisions, including being forced into treatment. </w:t>
      </w:r>
      <w:r w:rsidR="001B7135">
        <w:t xml:space="preserve">Ethical </w:t>
      </w:r>
      <w:r w:rsidR="00286176">
        <w:t xml:space="preserve">issues in disability data largely </w:t>
      </w:r>
      <w:r>
        <w:t>arise from the sensitive nature of information being collected and from the experiences of stigma, discrimination and exclusion that many persons with disabilities experience</w:t>
      </w:r>
      <w:r w:rsidR="00286176">
        <w:t xml:space="preserve">. This is not </w:t>
      </w:r>
      <w:r>
        <w:t>specific to the eye health sector</w:t>
      </w:r>
      <w:r w:rsidR="00286176">
        <w:t>, and e</w:t>
      </w:r>
      <w:r w:rsidR="007F1A5F">
        <w:t xml:space="preserve">xisting </w:t>
      </w:r>
      <w:r w:rsidR="002338C4">
        <w:t xml:space="preserve">guidance available on general ethical practices </w:t>
      </w:r>
      <w:r w:rsidR="007F1A5F">
        <w:t xml:space="preserve">for </w:t>
      </w:r>
      <w:r w:rsidR="002338C4">
        <w:t>disability data collection</w:t>
      </w:r>
      <w:r w:rsidR="00AA2AA5">
        <w:rPr>
          <w:rStyle w:val="EndnoteReference"/>
        </w:rPr>
        <w:endnoteReference w:id="23"/>
      </w:r>
      <w:r w:rsidR="007F1A5F">
        <w:t xml:space="preserve"> should</w:t>
      </w:r>
      <w:r w:rsidR="002338C4">
        <w:t xml:space="preserve"> be largely applicable to eye health contexts</w:t>
      </w:r>
      <w:r w:rsidR="007F1A5F">
        <w:t>.</w:t>
      </w:r>
      <w:r w:rsidR="00FF3B69">
        <w:t xml:space="preserve"> </w:t>
      </w:r>
    </w:p>
    <w:p w14:paraId="56D5CCE0" w14:textId="4C14345E" w:rsidR="00F57965" w:rsidRDefault="00B274D3" w:rsidP="00B57D3C">
      <w:r>
        <w:t xml:space="preserve">The </w:t>
      </w:r>
      <w:r w:rsidR="009F5D72">
        <w:t xml:space="preserve">three </w:t>
      </w:r>
      <w:r>
        <w:t xml:space="preserve">ethical </w:t>
      </w:r>
      <w:r w:rsidR="00F57965">
        <w:t xml:space="preserve">aspects </w:t>
      </w:r>
      <w:r>
        <w:t xml:space="preserve">identified above </w:t>
      </w:r>
      <w:r w:rsidR="009F5D72">
        <w:t xml:space="preserve">point towards priority areas </w:t>
      </w:r>
      <w:r w:rsidR="00F57965">
        <w:t>of data ethics</w:t>
      </w:r>
      <w:r w:rsidR="00633D10">
        <w:t>,</w:t>
      </w:r>
      <w:r w:rsidR="00F57965">
        <w:t xml:space="preserve"> </w:t>
      </w:r>
      <w:r w:rsidR="00633D10">
        <w:t>from the perspective</w:t>
      </w:r>
      <w:r w:rsidR="000D7FBC">
        <w:t>s</w:t>
      </w:r>
      <w:r w:rsidR="00633D10">
        <w:t xml:space="preserve"> </w:t>
      </w:r>
      <w:r w:rsidR="000D7FBC">
        <w:t>of eye health organisations working on disability inclusion</w:t>
      </w:r>
      <w:r w:rsidR="00F57965">
        <w:t xml:space="preserve">. </w:t>
      </w:r>
      <w:r w:rsidR="00A8133F">
        <w:t xml:space="preserve">Eye health organisations should pay attention to the </w:t>
      </w:r>
      <w:proofErr w:type="gramStart"/>
      <w:r w:rsidR="00F57965">
        <w:t>particular</w:t>
      </w:r>
      <w:r w:rsidR="00350FF6">
        <w:t xml:space="preserve"> </w:t>
      </w:r>
      <w:r w:rsidR="00A8133F">
        <w:t>ways</w:t>
      </w:r>
      <w:proofErr w:type="gramEnd"/>
      <w:r w:rsidR="00A8133F">
        <w:t xml:space="preserve"> that </w:t>
      </w:r>
      <w:r w:rsidR="00350FF6">
        <w:t xml:space="preserve">ethical issues </w:t>
      </w:r>
      <w:r w:rsidR="00A8133F">
        <w:t xml:space="preserve">may </w:t>
      </w:r>
      <w:r w:rsidR="00350FF6">
        <w:t xml:space="preserve">arise </w:t>
      </w:r>
      <w:r w:rsidR="00F57965">
        <w:t xml:space="preserve">the case when a person is asked </w:t>
      </w:r>
      <w:r w:rsidR="00A8133F">
        <w:t xml:space="preserve">questions disability and health, or about disability in the </w:t>
      </w:r>
      <w:r w:rsidR="00A8133F">
        <w:lastRenderedPageBreak/>
        <w:t xml:space="preserve">context of </w:t>
      </w:r>
      <w:r w:rsidR="00F57965">
        <w:t>health service delivery</w:t>
      </w:r>
      <w:r w:rsidR="00A8133F">
        <w:t xml:space="preserve">. </w:t>
      </w:r>
      <w:r w:rsidR="00957E7B">
        <w:t xml:space="preserve">For example, a health setting, </w:t>
      </w:r>
      <w:r w:rsidR="00F57965">
        <w:t xml:space="preserve">rather than a </w:t>
      </w:r>
      <w:r w:rsidR="00957E7B">
        <w:t xml:space="preserve">general </w:t>
      </w:r>
      <w:r w:rsidR="00F57965">
        <w:t>population survey,</w:t>
      </w:r>
      <w:r w:rsidR="00957E7B">
        <w:t xml:space="preserve"> </w:t>
      </w:r>
      <w:r w:rsidR="00890C90">
        <w:t xml:space="preserve">may </w:t>
      </w:r>
      <w:r w:rsidR="008D7E00">
        <w:t xml:space="preserve">prompt </w:t>
      </w:r>
      <w:r w:rsidR="00A41BCA">
        <w:t xml:space="preserve">a person to raise </w:t>
      </w:r>
      <w:r w:rsidR="008D7E00">
        <w:t xml:space="preserve">a range of issues relating to </w:t>
      </w:r>
      <w:r w:rsidR="00A41BCA">
        <w:t xml:space="preserve">exclusion from </w:t>
      </w:r>
      <w:r w:rsidR="008D7E00">
        <w:t>health</w:t>
      </w:r>
      <w:r w:rsidR="00A41BCA">
        <w:t xml:space="preserve">care, gaps in essential disability or health services or </w:t>
      </w:r>
      <w:r w:rsidR="005D19A0">
        <w:t xml:space="preserve">discriminatory treatment </w:t>
      </w:r>
      <w:r w:rsidR="00D73800">
        <w:t xml:space="preserve">from healthcare personnel. Or the disclosure of health problems may create an expectation that various other health services </w:t>
      </w:r>
      <w:r w:rsidR="00547C3E">
        <w:t>would be provided, beyond eye care</w:t>
      </w:r>
      <w:r w:rsidR="00F57965">
        <w:t>.</w:t>
      </w:r>
      <w:r w:rsidR="00350FF6">
        <w:t xml:space="preserve"> </w:t>
      </w:r>
    </w:p>
    <w:p w14:paraId="61483C35" w14:textId="49E11019" w:rsidR="00350FF6" w:rsidRDefault="00350FF6" w:rsidP="00B57D3C">
      <w:r>
        <w:t xml:space="preserve">Providing </w:t>
      </w:r>
      <w:r w:rsidR="007569AC">
        <w:t xml:space="preserve">information about other relevant services </w:t>
      </w:r>
      <w:r w:rsidR="0008698E">
        <w:t xml:space="preserve">is an important </w:t>
      </w:r>
      <w:r w:rsidR="001B2F3E">
        <w:t xml:space="preserve">measure. This may require </w:t>
      </w:r>
      <w:r>
        <w:t>mapping available services in advance</w:t>
      </w:r>
      <w:r w:rsidR="001B2F3E">
        <w:t xml:space="preserve"> and making sure eye health personnel understand their potential relevance</w:t>
      </w:r>
      <w:r w:rsidR="007F59CD">
        <w:t xml:space="preserve"> to eye health patients. Services </w:t>
      </w:r>
      <w:r>
        <w:t xml:space="preserve">may </w:t>
      </w:r>
      <w:r w:rsidR="007F59CD">
        <w:t xml:space="preserve">encompass </w:t>
      </w:r>
      <w:r>
        <w:t xml:space="preserve">OPDs or self-help groups as well as disability or other health services. It is important to note that a mechanism </w:t>
      </w:r>
      <w:r w:rsidR="00FF3BD4">
        <w:t xml:space="preserve">for providing service information </w:t>
      </w:r>
      <w:r>
        <w:t xml:space="preserve">based on WG question data </w:t>
      </w:r>
      <w:r w:rsidR="00FF3BD4">
        <w:t xml:space="preserve">(or other functional data) </w:t>
      </w:r>
      <w:r>
        <w:t xml:space="preserve">does not comprise a clinical referral (i.e. a referral made by a health professional based on clinical assessment); rather it is simply providing information about a service to someone for whom it </w:t>
      </w:r>
      <w:r w:rsidRPr="0021524A">
        <w:rPr>
          <w:i/>
          <w:iCs/>
        </w:rPr>
        <w:t>may</w:t>
      </w:r>
      <w:r>
        <w:t xml:space="preserve"> be relevant. (See also the discussion in section 3.5 above on selection of the WG-SS cut-off for referral purposes.)</w:t>
      </w:r>
    </w:p>
    <w:p w14:paraId="073FF890" w14:textId="00AB1796" w:rsidR="002B78CC" w:rsidRDefault="002B78CC" w:rsidP="00B57D3C">
      <w:r>
        <w:t>The reasons for differ</w:t>
      </w:r>
      <w:r w:rsidR="00C92235">
        <w:t xml:space="preserve">ing </w:t>
      </w:r>
      <w:r w:rsidR="004C7909">
        <w:t>reported experiences on the cultural sensitivity of the WG questions</w:t>
      </w:r>
      <w:r>
        <w:t xml:space="preserve"> are unclear</w:t>
      </w:r>
      <w:r w:rsidR="004C7909">
        <w:t xml:space="preserve">. </w:t>
      </w:r>
      <w:r w:rsidR="000E550B">
        <w:t xml:space="preserve">As the questions have been tested and found to be </w:t>
      </w:r>
      <w:r w:rsidR="003A0AF0">
        <w:t>culturally</w:t>
      </w:r>
      <w:r w:rsidR="000E550B">
        <w:t xml:space="preserve"> sensitive in population data collection in many different contexts, it is possible that sensitivities have arisen from the </w:t>
      </w:r>
      <w:r w:rsidR="003A0AF0">
        <w:t xml:space="preserve">healthcare context in which eye health organisations </w:t>
      </w:r>
      <w:r w:rsidR="00FE617B">
        <w:t xml:space="preserve">have been deploying the questions. </w:t>
      </w:r>
      <w:r w:rsidR="0075552B">
        <w:t xml:space="preserve">Other relevant factors </w:t>
      </w:r>
      <w:r>
        <w:t xml:space="preserve">may </w:t>
      </w:r>
      <w:r w:rsidR="0075552B">
        <w:t xml:space="preserve">be </w:t>
      </w:r>
      <w:r>
        <w:t>the level of investment in translating and testing the questions before use, or the way in which data collection is communicated or delivered</w:t>
      </w:r>
      <w:r w:rsidR="0075552B">
        <w:t xml:space="preserve"> to patients</w:t>
      </w:r>
      <w:r>
        <w:t>.</w:t>
      </w:r>
    </w:p>
    <w:p w14:paraId="6F34A30F" w14:textId="22598E20" w:rsidR="0036117A" w:rsidRDefault="0036117A" w:rsidP="00226B27">
      <w:pPr>
        <w:pStyle w:val="Heading1"/>
        <w:numPr>
          <w:ilvl w:val="0"/>
          <w:numId w:val="15"/>
        </w:numPr>
      </w:pPr>
      <w:bookmarkStart w:id="13" w:name="_Toc135388373"/>
      <w:r>
        <w:t>Conclusions and recommendations</w:t>
      </w:r>
      <w:bookmarkEnd w:id="13"/>
    </w:p>
    <w:p w14:paraId="4DBD39CE" w14:textId="7B6AF05F" w:rsidR="003157C4" w:rsidRDefault="00720365" w:rsidP="00720365">
      <w:r>
        <w:t xml:space="preserve">There is a small but growing body of </w:t>
      </w:r>
      <w:r w:rsidR="003157C4" w:rsidRPr="003157C4">
        <w:t>evidence on the collection and use of disability data in eye health programming in low and middle-income countries</w:t>
      </w:r>
      <w:r>
        <w:t xml:space="preserve">. This </w:t>
      </w:r>
      <w:r w:rsidR="00A16702" w:rsidRPr="00C05191">
        <w:rPr>
          <w:b/>
          <w:bCs/>
        </w:rPr>
        <w:t>evidence</w:t>
      </w:r>
      <w:r w:rsidR="00A16702">
        <w:t xml:space="preserve"> shows that:</w:t>
      </w:r>
    </w:p>
    <w:p w14:paraId="7BD5CB5C" w14:textId="4A0D539B" w:rsidR="00BF21CB" w:rsidRDefault="00AB187C" w:rsidP="00A16702">
      <w:pPr>
        <w:pStyle w:val="ListParagraph"/>
      </w:pPr>
      <w:bookmarkStart w:id="14" w:name="_Hlk131105697"/>
      <w:r>
        <w:t xml:space="preserve">Data from a range of contexts in LMICs shows </w:t>
      </w:r>
      <w:r w:rsidR="003E7160">
        <w:t xml:space="preserve">that persons with disabilities </w:t>
      </w:r>
      <w:r w:rsidR="00EE12F6">
        <w:t xml:space="preserve">other than visual disabilities </w:t>
      </w:r>
      <w:r w:rsidR="003E7160">
        <w:t xml:space="preserve">experience </w:t>
      </w:r>
      <w:r w:rsidR="00301688">
        <w:t>higher incidence of vision impairment and eye health problems</w:t>
      </w:r>
      <w:r w:rsidR="00BF21CB">
        <w:t>,</w:t>
      </w:r>
      <w:r w:rsidR="009E7AA1">
        <w:t xml:space="preserve"> </w:t>
      </w:r>
      <w:r w:rsidR="00BF21CB">
        <w:t xml:space="preserve">but are less likely to access eye health services, compared to </w:t>
      </w:r>
      <w:r w:rsidR="009E7AA1">
        <w:t xml:space="preserve">persons without </w:t>
      </w:r>
      <w:r w:rsidR="00EE12F6">
        <w:t xml:space="preserve">such </w:t>
      </w:r>
      <w:r w:rsidR="009E7AA1">
        <w:t>disabilities</w:t>
      </w:r>
      <w:r w:rsidR="00301688">
        <w:t>.</w:t>
      </w:r>
    </w:p>
    <w:bookmarkEnd w:id="14"/>
    <w:p w14:paraId="6C26D2A5" w14:textId="19E5C2BE" w:rsidR="003725A5" w:rsidRDefault="007F6315" w:rsidP="006C0768">
      <w:pPr>
        <w:pStyle w:val="ListParagraph"/>
      </w:pPr>
      <w:r>
        <w:t>Equity of access to eye health outcomes</w:t>
      </w:r>
      <w:r w:rsidR="00444174">
        <w:t xml:space="preserve"> for persons with disabilities</w:t>
      </w:r>
      <w:r>
        <w:t xml:space="preserve"> can be measured </w:t>
      </w:r>
      <w:proofErr w:type="gramStart"/>
      <w:r w:rsidR="00444174">
        <w:t>by</w:t>
      </w:r>
      <w:r w:rsidR="005279E8">
        <w:t>:</w:t>
      </w:r>
      <w:proofErr w:type="gramEnd"/>
      <w:r w:rsidR="006C0768">
        <w:t xml:space="preserve"> </w:t>
      </w:r>
      <w:r w:rsidR="00444174">
        <w:t xml:space="preserve">comparing </w:t>
      </w:r>
      <w:r w:rsidR="00F5793E">
        <w:t xml:space="preserve">changes in </w:t>
      </w:r>
      <w:r w:rsidR="00444174">
        <w:t xml:space="preserve">disability-disaggregated </w:t>
      </w:r>
      <w:r w:rsidR="00F5793E">
        <w:t xml:space="preserve">eye health </w:t>
      </w:r>
      <w:r w:rsidR="00444174">
        <w:t xml:space="preserve">population data </w:t>
      </w:r>
      <w:r w:rsidR="0080772F">
        <w:t>over time</w:t>
      </w:r>
      <w:r w:rsidR="005279E8">
        <w:t>;</w:t>
      </w:r>
      <w:r w:rsidR="0080772F">
        <w:t xml:space="preserve"> </w:t>
      </w:r>
      <w:r w:rsidR="006C0768">
        <w:t xml:space="preserve">and/or </w:t>
      </w:r>
      <w:r w:rsidR="0080772F">
        <w:t xml:space="preserve">comparing </w:t>
      </w:r>
      <w:r w:rsidR="00F5793E">
        <w:t xml:space="preserve">eye health </w:t>
      </w:r>
      <w:r w:rsidR="0080772F">
        <w:t>pop</w:t>
      </w:r>
      <w:r w:rsidR="005279E8">
        <w:t xml:space="preserve">ulation data and service </w:t>
      </w:r>
      <w:r w:rsidR="00F5793E">
        <w:t xml:space="preserve">user data </w:t>
      </w:r>
      <w:r w:rsidR="00373F00">
        <w:t xml:space="preserve">that use comparable approaches to </w:t>
      </w:r>
      <w:r w:rsidR="006C0768">
        <w:t>disability-disaggregation</w:t>
      </w:r>
      <w:r w:rsidR="00373F00">
        <w:t>.</w:t>
      </w:r>
      <w:r w:rsidR="008C0E01">
        <w:t xml:space="preserve"> However, </w:t>
      </w:r>
      <w:r w:rsidR="00DD419A">
        <w:t xml:space="preserve">to date, </w:t>
      </w:r>
      <w:r w:rsidR="008C0E01">
        <w:t xml:space="preserve">few eye health programs </w:t>
      </w:r>
      <w:r w:rsidR="00E67EE7">
        <w:t xml:space="preserve">have systems and available data that can </w:t>
      </w:r>
      <w:r w:rsidR="00DD419A">
        <w:t>measure equity.</w:t>
      </w:r>
    </w:p>
    <w:p w14:paraId="08D804D1" w14:textId="3F5E9476" w:rsidR="008703F7" w:rsidRDefault="003725A5" w:rsidP="00A16702">
      <w:pPr>
        <w:pStyle w:val="ListParagraph"/>
      </w:pPr>
      <w:r>
        <w:t xml:space="preserve">The WG-SS is the most preferred and </w:t>
      </w:r>
      <w:proofErr w:type="gramStart"/>
      <w:r>
        <w:t>commonly-used</w:t>
      </w:r>
      <w:proofErr w:type="gramEnd"/>
      <w:r>
        <w:t xml:space="preserve"> tool for disaggregating eye health data by disability, both at population and </w:t>
      </w:r>
      <w:r w:rsidR="00E4560C">
        <w:t xml:space="preserve">health </w:t>
      </w:r>
      <w:r>
        <w:t>service level.</w:t>
      </w:r>
    </w:p>
    <w:p w14:paraId="2A724451" w14:textId="1FCFD811" w:rsidR="00307993" w:rsidRDefault="00307993" w:rsidP="00A16702">
      <w:pPr>
        <w:pStyle w:val="ListParagraph"/>
      </w:pPr>
      <w:r>
        <w:t>Analysis of WG</w:t>
      </w:r>
      <w:r w:rsidR="00192F89">
        <w:t xml:space="preserve"> question data for the purpose of disaggregati</w:t>
      </w:r>
      <w:r w:rsidR="00A2305A">
        <w:t>ng eye health data</w:t>
      </w:r>
      <w:r w:rsidR="00192F89">
        <w:t xml:space="preserve"> should </w:t>
      </w:r>
      <w:r w:rsidR="00BD7C84">
        <w:t xml:space="preserve">including analysis that </w:t>
      </w:r>
      <w:r w:rsidR="00192F89">
        <w:t>exclude</w:t>
      </w:r>
      <w:r w:rsidR="00BD7C84">
        <w:t>s</w:t>
      </w:r>
      <w:r w:rsidR="00192F89">
        <w:t xml:space="preserve"> the vision domain, due its close association with vision impairment.</w:t>
      </w:r>
    </w:p>
    <w:p w14:paraId="2AB0BF32" w14:textId="6577F745" w:rsidR="00F94693" w:rsidRDefault="00DB0CFA" w:rsidP="00F94693">
      <w:pPr>
        <w:pStyle w:val="ListParagraph"/>
      </w:pPr>
      <w:r>
        <w:t>Eye health organisations</w:t>
      </w:r>
      <w:r w:rsidR="000E2C8F">
        <w:t xml:space="preserve"> perceive that </w:t>
      </w:r>
      <w:r w:rsidR="00EE4944">
        <w:t>i</w:t>
      </w:r>
      <w:r w:rsidR="00093353">
        <w:t>ntegrating d</w:t>
      </w:r>
      <w:r w:rsidR="00F94693">
        <w:t xml:space="preserve">isability data </w:t>
      </w:r>
      <w:r w:rsidR="00392DB1">
        <w:t xml:space="preserve">into HMISs </w:t>
      </w:r>
      <w:r w:rsidR="00F94693">
        <w:t xml:space="preserve">at health service level </w:t>
      </w:r>
      <w:r w:rsidR="00EE4944">
        <w:t xml:space="preserve">is </w:t>
      </w:r>
      <w:r w:rsidR="00EF3371">
        <w:t xml:space="preserve">more efficient and </w:t>
      </w:r>
      <w:r w:rsidR="00236963">
        <w:t>generate</w:t>
      </w:r>
      <w:r w:rsidR="00EE4944">
        <w:t>s</w:t>
      </w:r>
      <w:r w:rsidR="00236963">
        <w:t xml:space="preserve"> more robust </w:t>
      </w:r>
      <w:r w:rsidR="00EF3371">
        <w:t>data, compared to</w:t>
      </w:r>
      <w:r w:rsidR="00FB7E07">
        <w:t xml:space="preserve"> parallel data collection.</w:t>
      </w:r>
      <w:r w:rsidR="00EF3371">
        <w:t xml:space="preserve"> </w:t>
      </w:r>
      <w:r w:rsidR="00F94693">
        <w:t>However, doing so is challenging</w:t>
      </w:r>
      <w:r w:rsidR="003F4180">
        <w:t xml:space="preserve"> and there are relatively few examples</w:t>
      </w:r>
      <w:r w:rsidR="00F94693">
        <w:t>.</w:t>
      </w:r>
    </w:p>
    <w:p w14:paraId="35DFDEFF" w14:textId="6EC9BA94" w:rsidR="00D00E89" w:rsidRDefault="00795294" w:rsidP="00A16702">
      <w:pPr>
        <w:pStyle w:val="ListParagraph"/>
      </w:pPr>
      <w:r>
        <w:lastRenderedPageBreak/>
        <w:t>Effective c</w:t>
      </w:r>
      <w:r w:rsidR="00D00E89">
        <w:t>ollection of</w:t>
      </w:r>
      <w:r>
        <w:t xml:space="preserve"> disability data at health service level requires staff resourcing, training and management buy-in</w:t>
      </w:r>
      <w:r w:rsidR="00CA2B72">
        <w:t>.</w:t>
      </w:r>
    </w:p>
    <w:p w14:paraId="2520A66E" w14:textId="55356EB0" w:rsidR="00940DFF" w:rsidRDefault="002C2EBB" w:rsidP="00940DFF">
      <w:pPr>
        <w:pStyle w:val="ListParagraph"/>
      </w:pPr>
      <w:r>
        <w:t xml:space="preserve">The process of collecting disability data and engaging with persons with disabilities </w:t>
      </w:r>
      <w:r w:rsidR="005D3D7F">
        <w:t>is, of itself, impactful in terms of raising awareness of eye health staff and driving practice change in institutions</w:t>
      </w:r>
      <w:r w:rsidR="00D53DC0">
        <w:t>.</w:t>
      </w:r>
    </w:p>
    <w:p w14:paraId="7DE438B1" w14:textId="63908A3B" w:rsidR="00A33068" w:rsidRDefault="00A33068" w:rsidP="00940DFF">
      <w:pPr>
        <w:pStyle w:val="ListParagraph"/>
      </w:pPr>
      <w:r>
        <w:t xml:space="preserve">Ethical considerations for disability data collection are </w:t>
      </w:r>
      <w:r w:rsidR="00E76610">
        <w:t xml:space="preserve">largely </w:t>
      </w:r>
      <w:r>
        <w:t>not specific to eye health</w:t>
      </w:r>
      <w:r w:rsidR="00E76610">
        <w:t xml:space="preserve">. Priority considerations for eye health </w:t>
      </w:r>
      <w:r>
        <w:t>include managing expectations and providing referral information.</w:t>
      </w:r>
    </w:p>
    <w:p w14:paraId="705D5CB9" w14:textId="7652A7A0" w:rsidR="00D53DC0" w:rsidRDefault="00D53DC0" w:rsidP="00F1099B">
      <w:r>
        <w:t xml:space="preserve">There </w:t>
      </w:r>
      <w:r w:rsidR="00F767E0">
        <w:t xml:space="preserve">are </w:t>
      </w:r>
      <w:r w:rsidR="00F767E0" w:rsidRPr="00F1099B">
        <w:rPr>
          <w:b/>
          <w:bCs/>
        </w:rPr>
        <w:t xml:space="preserve">gaps </w:t>
      </w:r>
      <w:r w:rsidR="001A4AEC" w:rsidRPr="00F1099B">
        <w:rPr>
          <w:b/>
          <w:bCs/>
        </w:rPr>
        <w:t>in the evidence</w:t>
      </w:r>
      <w:r w:rsidR="001A4AEC">
        <w:t xml:space="preserve"> relating to: </w:t>
      </w:r>
    </w:p>
    <w:p w14:paraId="383363C3" w14:textId="54BCBA11" w:rsidR="001A4AEC" w:rsidRDefault="001A4AEC" w:rsidP="00F1099B">
      <w:pPr>
        <w:pStyle w:val="ListParagraph"/>
      </w:pPr>
      <w:r>
        <w:t xml:space="preserve">Approaches to disability data beyond disaggregation of population- and facility-level data on individuals. </w:t>
      </w:r>
    </w:p>
    <w:p w14:paraId="5B524E3F" w14:textId="14B40D18" w:rsidR="00B81E2F" w:rsidRDefault="00B81E2F" w:rsidP="00F1099B">
      <w:pPr>
        <w:pStyle w:val="ListParagraph"/>
      </w:pPr>
      <w:r>
        <w:t>Key indicators for disability inclusive eye health, and data required to measure these.</w:t>
      </w:r>
    </w:p>
    <w:p w14:paraId="4D076278" w14:textId="1528E618" w:rsidR="004738B3" w:rsidRDefault="00F1099B" w:rsidP="00F1099B">
      <w:pPr>
        <w:pStyle w:val="ListParagraph"/>
      </w:pPr>
      <w:r>
        <w:t xml:space="preserve">Approaches </w:t>
      </w:r>
      <w:r w:rsidR="0047324E">
        <w:t>and tools for collecting data on barriers to inclusion and support requirements</w:t>
      </w:r>
      <w:r w:rsidR="004738B3">
        <w:t>.</w:t>
      </w:r>
    </w:p>
    <w:p w14:paraId="673AF192" w14:textId="62C18813" w:rsidR="00B81E2F" w:rsidRDefault="004738B3" w:rsidP="00F1099B">
      <w:pPr>
        <w:pStyle w:val="ListParagraph"/>
      </w:pPr>
      <w:r>
        <w:t>Application of other question sets to identify eye health needs and experiences of persons not identified by the WG-SS, including those from more marginalised groups.</w:t>
      </w:r>
    </w:p>
    <w:p w14:paraId="615EDCAA" w14:textId="242D9AEC" w:rsidR="0047324E" w:rsidRDefault="0018730C" w:rsidP="0018730C">
      <w:r>
        <w:t xml:space="preserve">There are </w:t>
      </w:r>
      <w:r w:rsidRPr="0018730C">
        <w:rPr>
          <w:b/>
          <w:bCs/>
        </w:rPr>
        <w:t xml:space="preserve">outstanding </w:t>
      </w:r>
      <w:r w:rsidR="009F064E">
        <w:rPr>
          <w:b/>
          <w:bCs/>
        </w:rPr>
        <w:t xml:space="preserve">or unanswered </w:t>
      </w:r>
      <w:r w:rsidRPr="0018730C">
        <w:rPr>
          <w:b/>
          <w:bCs/>
        </w:rPr>
        <w:t xml:space="preserve">questions </w:t>
      </w:r>
      <w:r w:rsidRPr="0018730C">
        <w:t>relating</w:t>
      </w:r>
      <w:r>
        <w:t xml:space="preserve"> to:</w:t>
      </w:r>
    </w:p>
    <w:p w14:paraId="4E38A4C9" w14:textId="0CBA1057" w:rsidR="008A1758" w:rsidRDefault="009F064E" w:rsidP="009F064E">
      <w:pPr>
        <w:pStyle w:val="ListParagraph"/>
      </w:pPr>
      <w:r>
        <w:t>The value of c</w:t>
      </w:r>
      <w:r w:rsidR="008A1758">
        <w:t>ollecti</w:t>
      </w:r>
      <w:r>
        <w:t>ng</w:t>
      </w:r>
      <w:r w:rsidR="008A1758">
        <w:t xml:space="preserve"> of </w:t>
      </w:r>
      <w:r w:rsidR="0022519C">
        <w:t xml:space="preserve">eye health patient </w:t>
      </w:r>
      <w:r w:rsidR="008A1758">
        <w:t xml:space="preserve">data in absence of </w:t>
      </w:r>
      <w:r w:rsidR="0022519C">
        <w:t>comparable population data</w:t>
      </w:r>
      <w:r w:rsidR="00E91AF9">
        <w:t xml:space="preserve"> – including differing views on whether this data is a first steps towards </w:t>
      </w:r>
      <w:r>
        <w:t xml:space="preserve">inclusion </w:t>
      </w:r>
      <w:r w:rsidR="00E91AF9">
        <w:t xml:space="preserve">or </w:t>
      </w:r>
      <w:r w:rsidR="00C71078">
        <w:t>is only valuable to monitor outcomes post-intervention</w:t>
      </w:r>
      <w:r w:rsidR="00EE13FE">
        <w:t>.</w:t>
      </w:r>
    </w:p>
    <w:p w14:paraId="34FA4AC6" w14:textId="2F521F9E" w:rsidR="00026AC1" w:rsidRDefault="00E67769" w:rsidP="009F064E">
      <w:pPr>
        <w:pStyle w:val="ListParagraph"/>
      </w:pPr>
      <w:r>
        <w:t xml:space="preserve">The respective advantages and disadvantages of collecting </w:t>
      </w:r>
      <w:r w:rsidR="009F064E">
        <w:t xml:space="preserve">facility-based </w:t>
      </w:r>
      <w:r w:rsidR="003515F5">
        <w:t xml:space="preserve">disability </w:t>
      </w:r>
      <w:r w:rsidR="009F064E">
        <w:t xml:space="preserve">data </w:t>
      </w:r>
      <w:r w:rsidR="003515F5">
        <w:t>from only a s</w:t>
      </w:r>
      <w:r w:rsidR="00170BE1">
        <w:t>ampl</w:t>
      </w:r>
      <w:r w:rsidR="003515F5">
        <w:t>e of eye health patients</w:t>
      </w:r>
      <w:r w:rsidR="00D31B6C">
        <w:t xml:space="preserve">, </w:t>
      </w:r>
      <w:r w:rsidR="00600189">
        <w:t xml:space="preserve">compared to </w:t>
      </w:r>
      <w:r w:rsidR="0022519C">
        <w:t>routine</w:t>
      </w:r>
      <w:r w:rsidR="003515F5">
        <w:t xml:space="preserve"> data collection</w:t>
      </w:r>
      <w:r w:rsidR="00304AC2">
        <w:t xml:space="preserve"> from every patient.</w:t>
      </w:r>
    </w:p>
    <w:p w14:paraId="4852ED85" w14:textId="6D6BFA94" w:rsidR="00466246" w:rsidRDefault="00467121" w:rsidP="00EE13FE">
      <w:pPr>
        <w:pStyle w:val="ListParagraph"/>
      </w:pPr>
      <w:r>
        <w:t>The f</w:t>
      </w:r>
      <w:r w:rsidR="00466246">
        <w:t xml:space="preserve">easibility and </w:t>
      </w:r>
      <w:r w:rsidR="00DC5871">
        <w:t xml:space="preserve">effectiveness of collecting </w:t>
      </w:r>
      <w:r w:rsidR="002A03E2">
        <w:t>facility-level disability data through parallel systems</w:t>
      </w:r>
      <w:r w:rsidR="00A704A5">
        <w:t xml:space="preserve"> (outside of the HMIS)</w:t>
      </w:r>
      <w:r w:rsidR="002A03E2">
        <w:t xml:space="preserve"> </w:t>
      </w:r>
      <w:r w:rsidR="00FF3068">
        <w:t xml:space="preserve">– either </w:t>
      </w:r>
      <w:r w:rsidR="00321E1F">
        <w:t xml:space="preserve">as a first step towards developing eye health </w:t>
      </w:r>
      <w:r w:rsidR="006F0063">
        <w:t>facility</w:t>
      </w:r>
      <w:r w:rsidR="00321E1F">
        <w:t>/system</w:t>
      </w:r>
      <w:r w:rsidR="006F0063">
        <w:t xml:space="preserve"> capacity, or </w:t>
      </w:r>
      <w:r w:rsidR="00321E1F">
        <w:t>as an indefinitely ongoing measure.</w:t>
      </w:r>
    </w:p>
    <w:p w14:paraId="5665FBDB" w14:textId="2ED74315" w:rsidR="0036117A" w:rsidRDefault="004A4616" w:rsidP="008B71AD">
      <w:r>
        <w:t xml:space="preserve">For </w:t>
      </w:r>
      <w:r w:rsidR="00092DC6">
        <w:t>eye health organisations</w:t>
      </w:r>
      <w:r w:rsidR="00C05191">
        <w:t>,</w:t>
      </w:r>
      <w:r w:rsidR="00092DC6">
        <w:t xml:space="preserve"> </w:t>
      </w:r>
      <w:r w:rsidR="00C05191">
        <w:t xml:space="preserve">the evidence </w:t>
      </w:r>
      <w:r w:rsidR="00870FA4">
        <w:t xml:space="preserve">summarised here </w:t>
      </w:r>
      <w:r w:rsidR="00E76610">
        <w:t xml:space="preserve">may </w:t>
      </w:r>
      <w:r w:rsidR="00870FA4">
        <w:t xml:space="preserve">provide some directions for the design of </w:t>
      </w:r>
      <w:r w:rsidR="00092DC6">
        <w:t>disability dat</w:t>
      </w:r>
      <w:r w:rsidR="00C05191">
        <w:t xml:space="preserve">a </w:t>
      </w:r>
      <w:r w:rsidR="00870FA4">
        <w:t>approaches, as well as highlighting opportunities to contribute further to the evidence base.</w:t>
      </w:r>
      <w:r w:rsidR="005A3707">
        <w:t xml:space="preserve"> While there is a body of evidence guiding DDD approaches in eye health, it is important that programs base data approaches </w:t>
      </w:r>
      <w:r w:rsidR="00E6243E">
        <w:t xml:space="preserve">on </w:t>
      </w:r>
      <w:r w:rsidR="005A3707">
        <w:t xml:space="preserve">identified opportunities and strategies to influence disability inclusion in each context. </w:t>
      </w:r>
      <w:r w:rsidR="00435F83">
        <w:t xml:space="preserve">This should include analysis of the existing context </w:t>
      </w:r>
      <w:r w:rsidR="00183F79">
        <w:t xml:space="preserve">of disability data </w:t>
      </w:r>
      <w:r w:rsidR="00226316">
        <w:t xml:space="preserve">within population surveys, eye health HMISs, public health systems and wider public administration, and </w:t>
      </w:r>
      <w:r w:rsidR="00E76610">
        <w:t xml:space="preserve">assessment </w:t>
      </w:r>
      <w:r w:rsidR="00226316">
        <w:t>of the scope to influence change</w:t>
      </w:r>
      <w:r w:rsidR="008458AC">
        <w:t xml:space="preserve"> at health facility and system level</w:t>
      </w:r>
      <w:r w:rsidR="00226316">
        <w:t>.</w:t>
      </w:r>
    </w:p>
    <w:p w14:paraId="5A7C59C3" w14:textId="75581973" w:rsidR="000711DA" w:rsidRDefault="00E76610" w:rsidP="005B230F">
      <w:r>
        <w:t xml:space="preserve">Potential </w:t>
      </w:r>
      <w:r w:rsidR="005B230F">
        <w:t xml:space="preserve">opportunities to strengthen disability data </w:t>
      </w:r>
      <w:r w:rsidR="00CE7F16">
        <w:t xml:space="preserve">practice </w:t>
      </w:r>
      <w:r w:rsidR="005B230F">
        <w:t xml:space="preserve">in the </w:t>
      </w:r>
      <w:r>
        <w:t xml:space="preserve">eye health </w:t>
      </w:r>
      <w:r w:rsidR="005B230F">
        <w:t xml:space="preserve">sector, either through </w:t>
      </w:r>
      <w:r w:rsidR="00A804B8">
        <w:t xml:space="preserve">joint work </w:t>
      </w:r>
      <w:r w:rsidR="005B230F">
        <w:t>or sharing of resources and lessons learnt, include:</w:t>
      </w:r>
    </w:p>
    <w:p w14:paraId="3A24351A" w14:textId="60C06AB0" w:rsidR="005B230F" w:rsidRDefault="005B230F" w:rsidP="005B230F">
      <w:pPr>
        <w:pStyle w:val="ListParagraph"/>
      </w:pPr>
      <w:r>
        <w:t>Developing an adapted indicator framework for disability inclusive eye health, potentially based on the forthcoming WHO general disability inclusive health indicators</w:t>
      </w:r>
    </w:p>
    <w:p w14:paraId="0B58E37E" w14:textId="721C6DD6" w:rsidR="00F40A79" w:rsidRDefault="00BB0DBF" w:rsidP="005B230F">
      <w:pPr>
        <w:pStyle w:val="ListParagraph"/>
      </w:pPr>
      <w:r>
        <w:t xml:space="preserve">Developing and sharing </w:t>
      </w:r>
      <w:r w:rsidR="00F006D0">
        <w:t>common training packages and tools regarding patient data collection</w:t>
      </w:r>
      <w:r>
        <w:t xml:space="preserve"> (e.g. relating to the WG-SS)</w:t>
      </w:r>
    </w:p>
    <w:p w14:paraId="47AE9477" w14:textId="24F80734" w:rsidR="000F1C61" w:rsidRDefault="000F1C61" w:rsidP="005B230F">
      <w:pPr>
        <w:pStyle w:val="ListParagraph"/>
      </w:pPr>
      <w:r>
        <w:lastRenderedPageBreak/>
        <w:t xml:space="preserve">Developing and sharing tools to collect data </w:t>
      </w:r>
      <w:r w:rsidR="002F781F">
        <w:t>on barriers to inclusion</w:t>
      </w:r>
    </w:p>
    <w:p w14:paraId="1C2FB9C6" w14:textId="1BCFD5C5" w:rsidR="000D11CB" w:rsidRDefault="005B230F" w:rsidP="005B230F">
      <w:pPr>
        <w:pStyle w:val="ListParagraph"/>
      </w:pPr>
      <w:r>
        <w:t xml:space="preserve">Harmonising </w:t>
      </w:r>
      <w:r w:rsidR="000F1C61">
        <w:t xml:space="preserve">facility-based </w:t>
      </w:r>
      <w:r>
        <w:t xml:space="preserve">data collection </w:t>
      </w:r>
      <w:r w:rsidR="00A16702">
        <w:t>tools</w:t>
      </w:r>
      <w:r>
        <w:t xml:space="preserve">, </w:t>
      </w:r>
      <w:r w:rsidR="00A16702">
        <w:t xml:space="preserve">approaches </w:t>
      </w:r>
      <w:r>
        <w:t xml:space="preserve">and messages </w:t>
      </w:r>
      <w:r w:rsidR="00A16702">
        <w:t>across eye health NGOs</w:t>
      </w:r>
      <w:r>
        <w:t xml:space="preserve"> (who are often working with the same hospitals)</w:t>
      </w:r>
    </w:p>
    <w:p w14:paraId="07F39985" w14:textId="0F48A8F5" w:rsidR="00853BE1" w:rsidRDefault="00EF4A84" w:rsidP="005B230F">
      <w:pPr>
        <w:pStyle w:val="ListParagraph"/>
      </w:pPr>
      <w:r>
        <w:t xml:space="preserve">Consulting </w:t>
      </w:r>
      <w:r w:rsidR="00243C25">
        <w:t xml:space="preserve">with </w:t>
      </w:r>
      <w:r w:rsidR="007A3F16">
        <w:t xml:space="preserve">persons with disabilities and OPDs </w:t>
      </w:r>
      <w:r w:rsidR="00243C25">
        <w:t xml:space="preserve">to understand their perspectives on </w:t>
      </w:r>
      <w:r w:rsidR="00E2001F">
        <w:t xml:space="preserve">the collection, storage, analysis, use and dissemination of </w:t>
      </w:r>
      <w:r w:rsidR="00B6331E">
        <w:t xml:space="preserve">disability </w:t>
      </w:r>
      <w:r w:rsidR="00E2001F">
        <w:t>data in the eye health sector</w:t>
      </w:r>
      <w:r w:rsidR="00B6331E">
        <w:t xml:space="preserve"> and/or general health sector</w:t>
      </w:r>
      <w:r w:rsidR="00D34D58">
        <w:t xml:space="preserve">, and revising </w:t>
      </w:r>
      <w:r w:rsidR="00567D20">
        <w:t>guidance and approaches accordingly</w:t>
      </w:r>
    </w:p>
    <w:p w14:paraId="0450549E" w14:textId="28F8D160" w:rsidR="00C14E82" w:rsidRDefault="00BB0DBF" w:rsidP="00BB0DBF">
      <w:pPr>
        <w:pStyle w:val="ListParagraph"/>
      </w:pPr>
      <w:r>
        <w:t>R</w:t>
      </w:r>
      <w:r w:rsidR="00C14E82">
        <w:t xml:space="preserve">aising </w:t>
      </w:r>
      <w:r>
        <w:t xml:space="preserve">awareness and promoting the </w:t>
      </w:r>
      <w:r w:rsidR="000D11CB">
        <w:t>routine use of the optional RAAB disability module</w:t>
      </w:r>
    </w:p>
    <w:p w14:paraId="3E3B79C0" w14:textId="11D23BB7" w:rsidR="00E03AFC" w:rsidRDefault="0082238E" w:rsidP="00571CE6">
      <w:pPr>
        <w:pStyle w:val="ListParagraph"/>
      </w:pPr>
      <w:r>
        <w:t>Commissioning studies on the eye health situations of more marginalised or under-represented groups of persons with disabilities</w:t>
      </w:r>
    </w:p>
    <w:p w14:paraId="49499925" w14:textId="667504D6" w:rsidR="0099181B" w:rsidRDefault="00D5690C" w:rsidP="00571CE6">
      <w:pPr>
        <w:pStyle w:val="ListParagraph"/>
      </w:pPr>
      <w:r>
        <w:t>Coordinating with, and drawing on relevant evidence and lessons learnt from, organisations working on disability-inclusive general/primary health, including in relation to HMIS strengthening</w:t>
      </w:r>
    </w:p>
    <w:p w14:paraId="473820C5" w14:textId="0FAAE9C1" w:rsidR="00A804B8" w:rsidRDefault="00A804B8" w:rsidP="00BB0DBF">
      <w:pPr>
        <w:pStyle w:val="ListParagraph"/>
      </w:pPr>
      <w:r>
        <w:t xml:space="preserve">Creating a platform for </w:t>
      </w:r>
      <w:r w:rsidR="008C321A">
        <w:t xml:space="preserve">regular </w:t>
      </w:r>
      <w:r>
        <w:t>collaboration, coordination and sharing of resources and learning on disability inclusion in eye health</w:t>
      </w:r>
      <w:r w:rsidR="008C321A">
        <w:t xml:space="preserve">, </w:t>
      </w:r>
      <w:r w:rsidR="00EB7E37">
        <w:t>for example as a working group convened under IAPB and/or IDDC</w:t>
      </w:r>
    </w:p>
    <w:p w14:paraId="6DB2420E" w14:textId="3F383B70" w:rsidR="00C14E82" w:rsidRDefault="00C14E82" w:rsidP="00C14E82">
      <w:pPr>
        <w:sectPr w:rsidR="00C14E82" w:rsidSect="00FD03FE">
          <w:headerReference w:type="default" r:id="rId11"/>
          <w:footerReference w:type="default" r:id="rId12"/>
          <w:headerReference w:type="first" r:id="rId13"/>
          <w:footerReference w:type="first" r:id="rId14"/>
          <w:endnotePr>
            <w:numFmt w:val="decimal"/>
          </w:endnotePr>
          <w:pgSz w:w="11906" w:h="16838" w:code="9"/>
          <w:pgMar w:top="907" w:right="907" w:bottom="1134" w:left="907" w:header="0" w:footer="454" w:gutter="0"/>
          <w:cols w:space="708"/>
          <w:titlePg/>
          <w:docGrid w:linePitch="360"/>
        </w:sectPr>
      </w:pPr>
    </w:p>
    <w:p w14:paraId="28D4FCF3" w14:textId="7BC58C2B" w:rsidR="0036117A" w:rsidRDefault="0036117A" w:rsidP="0036117A">
      <w:pPr>
        <w:pStyle w:val="Heading1"/>
      </w:pPr>
      <w:bookmarkStart w:id="15" w:name="_Annex_1:_Evidence"/>
      <w:bookmarkStart w:id="16" w:name="_Ref129946276"/>
      <w:bookmarkStart w:id="17" w:name="_Toc135388374"/>
      <w:bookmarkEnd w:id="15"/>
      <w:r>
        <w:lastRenderedPageBreak/>
        <w:t xml:space="preserve">Annex 1: </w:t>
      </w:r>
      <w:r w:rsidR="008E3258">
        <w:t xml:space="preserve">Evidence summary </w:t>
      </w:r>
      <w:r w:rsidR="00813416">
        <w:t>protocol</w:t>
      </w:r>
      <w:bookmarkEnd w:id="16"/>
      <w:bookmarkEnd w:id="17"/>
    </w:p>
    <w:p w14:paraId="64FAC5C5" w14:textId="77777777" w:rsidR="00562829" w:rsidRPr="00562829" w:rsidRDefault="00562829" w:rsidP="00562829">
      <w:pPr>
        <w:pStyle w:val="Heading2"/>
      </w:pPr>
      <w:bookmarkStart w:id="18" w:name="_Toc135388375"/>
      <w:r w:rsidRPr="00562829">
        <w:t>Key learning question</w:t>
      </w:r>
      <w:bookmarkEnd w:id="18"/>
    </w:p>
    <w:p w14:paraId="03820E3B" w14:textId="77777777" w:rsidR="00562829" w:rsidRPr="00562829" w:rsidRDefault="00562829" w:rsidP="00562829">
      <w:r w:rsidRPr="00562829">
        <w:t>The evidence summary aims to answer the question:</w:t>
      </w:r>
    </w:p>
    <w:p w14:paraId="2F68A3FC" w14:textId="77777777" w:rsidR="00562829" w:rsidRPr="00562829" w:rsidRDefault="00562829" w:rsidP="00562829">
      <w:pPr>
        <w:rPr>
          <w:b/>
          <w:iCs/>
        </w:rPr>
      </w:pPr>
      <w:r w:rsidRPr="00562829">
        <w:rPr>
          <w:b/>
          <w:iCs/>
        </w:rPr>
        <w:t>What is the evidence on the collection and use of disability data in eye health programming in low and middle-income countries?</w:t>
      </w:r>
    </w:p>
    <w:p w14:paraId="5C67B703" w14:textId="77777777" w:rsidR="00562829" w:rsidRPr="00562829" w:rsidRDefault="00562829" w:rsidP="00562829">
      <w:pPr>
        <w:pStyle w:val="Heading2"/>
      </w:pPr>
      <w:bookmarkStart w:id="19" w:name="_Toc135388376"/>
      <w:r w:rsidRPr="00562829">
        <w:t>Learning themes and areas of enquiry</w:t>
      </w:r>
      <w:bookmarkEnd w:id="19"/>
    </w:p>
    <w:p w14:paraId="11E4DE56" w14:textId="6E7B7A1A" w:rsidR="00562829" w:rsidRPr="00562829" w:rsidRDefault="00562829" w:rsidP="00562829">
      <w:r w:rsidRPr="00562829">
        <w:t>The following questions set out themes or areas of learning to be explored through this evidence summary. They are based on preliminary discussions between IAG and F</w:t>
      </w:r>
      <w:r w:rsidR="00C11684">
        <w:t>red Hollows Foundation</w:t>
      </w:r>
      <w:r w:rsidRPr="00562829">
        <w:t xml:space="preserve"> staff and disability data specialists. It is not expected that all questions in this list will be answered by the evidence summary. Rather, they will inform the design of key informant interview guides, as well as the analysis and report writing process. Emerging themes and areas of enquiry will be added to this list.</w:t>
      </w:r>
    </w:p>
    <w:p w14:paraId="14324078" w14:textId="7EA93859" w:rsidR="00562829" w:rsidRPr="00562829" w:rsidRDefault="00562829" w:rsidP="00562829">
      <w:pPr>
        <w:numPr>
          <w:ilvl w:val="0"/>
          <w:numId w:val="8"/>
        </w:numPr>
      </w:pPr>
      <w:r w:rsidRPr="00562829">
        <w:t xml:space="preserve">What capacities, practices and systems relating to disability data collection and use are currently existing among </w:t>
      </w:r>
      <w:r w:rsidR="00A80819">
        <w:t>The Foundation</w:t>
      </w:r>
      <w:r w:rsidRPr="00562829">
        <w:t xml:space="preserve"> staff and partners (including government health service providers)?</w:t>
      </w:r>
    </w:p>
    <w:p w14:paraId="66DFEA0C" w14:textId="212B676D" w:rsidR="00562829" w:rsidRPr="00562829" w:rsidRDefault="00562829" w:rsidP="00562829">
      <w:pPr>
        <w:numPr>
          <w:ilvl w:val="1"/>
          <w:numId w:val="8"/>
        </w:numPr>
      </w:pPr>
      <w:r w:rsidRPr="00562829">
        <w:t xml:space="preserve">What do staff at </w:t>
      </w:r>
      <w:r w:rsidR="00C11684">
        <w:t>The Foundation</w:t>
      </w:r>
      <w:r w:rsidRPr="00562829">
        <w:t xml:space="preserve"> understand to be disability data and disability inclusion?</w:t>
      </w:r>
    </w:p>
    <w:p w14:paraId="3722BFE0" w14:textId="1AFC8E4C" w:rsidR="00562829" w:rsidRPr="00562829" w:rsidRDefault="00562829" w:rsidP="00562829">
      <w:pPr>
        <w:numPr>
          <w:ilvl w:val="1"/>
          <w:numId w:val="8"/>
        </w:numPr>
      </w:pPr>
      <w:r w:rsidRPr="00562829">
        <w:t xml:space="preserve">What disability data does </w:t>
      </w:r>
      <w:r w:rsidR="00C11684">
        <w:t>The Foundation</w:t>
      </w:r>
      <w:r w:rsidRPr="00562829">
        <w:t xml:space="preserve"> collect? How is it processed, analysed and reported? Why and how is disability data used across </w:t>
      </w:r>
      <w:r w:rsidR="00C11684">
        <w:t>The Foundation</w:t>
      </w:r>
      <w:r w:rsidRPr="00562829">
        <w:t xml:space="preserve">? How does disability data relate to </w:t>
      </w:r>
      <w:r w:rsidR="00C11684">
        <w:t>The Foundation</w:t>
      </w:r>
      <w:r w:rsidRPr="00562829">
        <w:t>’s approach to disability inclusion?</w:t>
      </w:r>
    </w:p>
    <w:p w14:paraId="4B27D555" w14:textId="7E06E93F" w:rsidR="00562829" w:rsidRPr="00562829" w:rsidRDefault="00562829" w:rsidP="00562829">
      <w:pPr>
        <w:numPr>
          <w:ilvl w:val="1"/>
          <w:numId w:val="8"/>
        </w:numPr>
      </w:pPr>
      <w:r w:rsidRPr="00562829">
        <w:t xml:space="preserve">What are the key systems, practices and personnel through which disability data is (or could be) collected, stored and shared across </w:t>
      </w:r>
      <w:r w:rsidR="00C11684">
        <w:t>The Foundation</w:t>
      </w:r>
      <w:r w:rsidRPr="00562829">
        <w:t>?</w:t>
      </w:r>
    </w:p>
    <w:p w14:paraId="522FF95E" w14:textId="56FF6FF0" w:rsidR="00562829" w:rsidRPr="00562829" w:rsidRDefault="00562829" w:rsidP="00562829">
      <w:pPr>
        <w:numPr>
          <w:ilvl w:val="1"/>
          <w:numId w:val="8"/>
        </w:numPr>
      </w:pPr>
      <w:r w:rsidRPr="00562829">
        <w:t xml:space="preserve">What do </w:t>
      </w:r>
      <w:r w:rsidR="00C11684">
        <w:t>The Foundation</w:t>
      </w:r>
      <w:r w:rsidRPr="00562829">
        <w:t xml:space="preserve"> staff perceive to be the key opportunities, challenges and considerations relating to disability data and disability inclusion?</w:t>
      </w:r>
    </w:p>
    <w:p w14:paraId="157E5CAC" w14:textId="32EA7353" w:rsidR="00562829" w:rsidRPr="00562829" w:rsidRDefault="00562829" w:rsidP="00562829">
      <w:pPr>
        <w:numPr>
          <w:ilvl w:val="0"/>
          <w:numId w:val="8"/>
        </w:numPr>
      </w:pPr>
      <w:r w:rsidRPr="00562829">
        <w:t xml:space="preserve">How can existing standards, guidance, tools and lessons relating to disability data in development and humanitarian programming apply to </w:t>
      </w:r>
      <w:r w:rsidR="00C11684">
        <w:t>The Fred Hollows Foundation’s</w:t>
      </w:r>
      <w:r w:rsidRPr="00562829">
        <w:t xml:space="preserve"> work? </w:t>
      </w:r>
    </w:p>
    <w:p w14:paraId="2BB5FDF0" w14:textId="77777777" w:rsidR="00562829" w:rsidRPr="00562829" w:rsidRDefault="00562829" w:rsidP="00562829">
      <w:pPr>
        <w:numPr>
          <w:ilvl w:val="1"/>
          <w:numId w:val="8"/>
        </w:numPr>
      </w:pPr>
      <w:r w:rsidRPr="00562829">
        <w:t>What are the documented guidance and lessons on disability data in development and humanitarian programming?</w:t>
      </w:r>
    </w:p>
    <w:p w14:paraId="7FDBB6A7" w14:textId="6E3A1A09" w:rsidR="00562829" w:rsidRPr="00562829" w:rsidRDefault="00562829" w:rsidP="00562829">
      <w:pPr>
        <w:numPr>
          <w:ilvl w:val="1"/>
          <w:numId w:val="8"/>
        </w:numPr>
      </w:pPr>
      <w:r w:rsidRPr="00562829">
        <w:t xml:space="preserve">How do these guidance and lessons apply to eye health programming? And to </w:t>
      </w:r>
      <w:r w:rsidR="00C11684">
        <w:t>The Foundation</w:t>
      </w:r>
      <w:r w:rsidRPr="00562829">
        <w:t>’s organisational and programming contexts?</w:t>
      </w:r>
    </w:p>
    <w:p w14:paraId="2AFB1609" w14:textId="09E33CE2" w:rsidR="00562829" w:rsidRPr="00562829" w:rsidRDefault="00562829" w:rsidP="00562829">
      <w:pPr>
        <w:numPr>
          <w:ilvl w:val="1"/>
          <w:numId w:val="8"/>
        </w:numPr>
      </w:pPr>
      <w:r w:rsidRPr="00562829">
        <w:t xml:space="preserve">What are the key opportunities for the collection and use of disability data by </w:t>
      </w:r>
      <w:r w:rsidR="00C11684">
        <w:t>The Foundation</w:t>
      </w:r>
      <w:r w:rsidRPr="00562829">
        <w:t>?</w:t>
      </w:r>
    </w:p>
    <w:p w14:paraId="7D892A5D" w14:textId="77777777" w:rsidR="00562829" w:rsidRPr="00562829" w:rsidRDefault="00562829" w:rsidP="00562829">
      <w:pPr>
        <w:numPr>
          <w:ilvl w:val="0"/>
          <w:numId w:val="8"/>
        </w:numPr>
      </w:pPr>
      <w:r w:rsidRPr="00562829">
        <w:lastRenderedPageBreak/>
        <w:t>What specific examples and lessons can be drawn from the collection and use of disability data within inclusive eye health, health systems strengthening and disability-inclusive healthcare delivery programs?</w:t>
      </w:r>
    </w:p>
    <w:p w14:paraId="122B1C7C" w14:textId="77777777" w:rsidR="00562829" w:rsidRPr="00562829" w:rsidRDefault="00562829" w:rsidP="00562829">
      <w:pPr>
        <w:numPr>
          <w:ilvl w:val="1"/>
          <w:numId w:val="8"/>
        </w:numPr>
      </w:pPr>
      <w:r w:rsidRPr="00562829">
        <w:t>How can WGQs be used to help understand the inclusiveness of services among a target population consisting of persons with vision difficulties?</w:t>
      </w:r>
    </w:p>
    <w:p w14:paraId="1AF08DB3" w14:textId="77777777" w:rsidR="00562829" w:rsidRPr="00562829" w:rsidRDefault="00562829" w:rsidP="00562829">
      <w:pPr>
        <w:numPr>
          <w:ilvl w:val="1"/>
          <w:numId w:val="8"/>
        </w:numPr>
      </w:pPr>
      <w:r w:rsidRPr="00562829">
        <w:t>How is disability data collection best managed at point of service? What resources or systems are used? How does this differ between hospital/centre-based and outreach/camps?</w:t>
      </w:r>
    </w:p>
    <w:p w14:paraId="1978DEE7" w14:textId="77777777" w:rsidR="00562829" w:rsidRPr="00562829" w:rsidRDefault="00562829" w:rsidP="00562829">
      <w:pPr>
        <w:numPr>
          <w:ilvl w:val="1"/>
          <w:numId w:val="8"/>
        </w:numPr>
      </w:pPr>
      <w:r w:rsidRPr="00562829">
        <w:t>How does data on functional difficulties collected via the WGQs relate to other tools or measures of disability used within the eye health sector?</w:t>
      </w:r>
    </w:p>
    <w:p w14:paraId="4D0BF359" w14:textId="77777777" w:rsidR="00562829" w:rsidRPr="00562829" w:rsidRDefault="00562829" w:rsidP="00562829">
      <w:pPr>
        <w:numPr>
          <w:ilvl w:val="1"/>
          <w:numId w:val="8"/>
        </w:numPr>
      </w:pPr>
      <w:r w:rsidRPr="00562829">
        <w:t>What tools or methodologies are available to assess the extent to which persons with disabilities (other than vision-related disabilities) are accessing and benefiting from eye health services on an equal basis to others?</w:t>
      </w:r>
    </w:p>
    <w:p w14:paraId="5E837658" w14:textId="77777777" w:rsidR="00562829" w:rsidRPr="00562829" w:rsidRDefault="00562829" w:rsidP="00562829">
      <w:pPr>
        <w:numPr>
          <w:ilvl w:val="1"/>
          <w:numId w:val="8"/>
        </w:numPr>
      </w:pPr>
      <w:r w:rsidRPr="00562829">
        <w:t>How can RAAB and other secondary disability and eye health data best be strengthened or used in eye health programming?</w:t>
      </w:r>
    </w:p>
    <w:p w14:paraId="74600613" w14:textId="77777777" w:rsidR="00562829" w:rsidRPr="00562829" w:rsidRDefault="00562829" w:rsidP="00562829">
      <w:pPr>
        <w:numPr>
          <w:ilvl w:val="1"/>
          <w:numId w:val="8"/>
        </w:numPr>
      </w:pPr>
      <w:r w:rsidRPr="00562829">
        <w:t xml:space="preserve">What examples are there of national/sub-national/facility-level collection of disability data with HMIS’s in </w:t>
      </w:r>
      <w:proofErr w:type="gramStart"/>
      <w:r w:rsidRPr="00562829">
        <w:t>low and middle income</w:t>
      </w:r>
      <w:proofErr w:type="gramEnd"/>
      <w:r w:rsidRPr="00562829">
        <w:t xml:space="preserve"> countries? What has worked well, what tools are used, how did this come about?</w:t>
      </w:r>
    </w:p>
    <w:p w14:paraId="22D60DA0" w14:textId="77777777" w:rsidR="00562829" w:rsidRPr="00562829" w:rsidRDefault="00562829" w:rsidP="00562829">
      <w:pPr>
        <w:numPr>
          <w:ilvl w:val="1"/>
          <w:numId w:val="8"/>
        </w:numPr>
      </w:pPr>
      <w:r w:rsidRPr="00562829">
        <w:t xml:space="preserve">What types and sources of data are most useful to inform planning and evaluation of disability-inclusive eye health policies and projects? </w:t>
      </w:r>
    </w:p>
    <w:p w14:paraId="08D57D62" w14:textId="77777777" w:rsidR="00562829" w:rsidRPr="00562829" w:rsidRDefault="00562829" w:rsidP="00562829">
      <w:pPr>
        <w:numPr>
          <w:ilvl w:val="1"/>
          <w:numId w:val="8"/>
        </w:numPr>
      </w:pPr>
      <w:r w:rsidRPr="00562829">
        <w:t>Beyond point-of-service, what other opportunities are there to collect disability data?</w:t>
      </w:r>
    </w:p>
    <w:p w14:paraId="0137CC4E" w14:textId="77777777" w:rsidR="00562829" w:rsidRPr="00562829" w:rsidRDefault="00562829" w:rsidP="00562829">
      <w:pPr>
        <w:numPr>
          <w:ilvl w:val="1"/>
          <w:numId w:val="8"/>
        </w:numPr>
      </w:pPr>
      <w:r w:rsidRPr="00562829">
        <w:t>What ethical standards should govern disability data collection in eye health? How are/could these be met in practice?</w:t>
      </w:r>
    </w:p>
    <w:p w14:paraId="54A58C8C" w14:textId="77777777" w:rsidR="00562829" w:rsidRPr="00562829" w:rsidRDefault="00562829" w:rsidP="008E3258">
      <w:pPr>
        <w:pStyle w:val="Heading2"/>
      </w:pPr>
      <w:bookmarkStart w:id="20" w:name="_Toc135388377"/>
      <w:r w:rsidRPr="00562829">
        <w:t>Desk review protocol</w:t>
      </w:r>
      <w:bookmarkEnd w:id="20"/>
    </w:p>
    <w:p w14:paraId="6E0DCA3F" w14:textId="77777777" w:rsidR="00562829" w:rsidRPr="00562829" w:rsidRDefault="00562829" w:rsidP="00562829">
      <w:r w:rsidRPr="00562829">
        <w:t>A search of academic and grey literature available in English will be conducted using the following parameters:</w:t>
      </w:r>
    </w:p>
    <w:p w14:paraId="2214D411" w14:textId="77777777" w:rsidR="00562829" w:rsidRPr="00562829" w:rsidRDefault="00562829" w:rsidP="00562829">
      <w:pPr>
        <w:numPr>
          <w:ilvl w:val="0"/>
          <w:numId w:val="12"/>
        </w:numPr>
      </w:pPr>
      <w:r w:rsidRPr="00562829">
        <w:t xml:space="preserve">Academic literature: A search of Google Scholar, </w:t>
      </w:r>
      <w:proofErr w:type="spellStart"/>
      <w:r w:rsidRPr="00562829">
        <w:t>Pubmed</w:t>
      </w:r>
      <w:proofErr w:type="spellEnd"/>
      <w:r w:rsidRPr="00562829">
        <w:t xml:space="preserve"> and Scopus will be undertaken.</w:t>
      </w:r>
    </w:p>
    <w:p w14:paraId="14184959" w14:textId="77777777" w:rsidR="00562829" w:rsidRPr="00562829" w:rsidRDefault="00562829" w:rsidP="00562829">
      <w:pPr>
        <w:numPr>
          <w:ilvl w:val="0"/>
          <w:numId w:val="12"/>
        </w:numPr>
      </w:pPr>
      <w:r w:rsidRPr="00562829">
        <w:t xml:space="preserve">Grey literature: </w:t>
      </w:r>
    </w:p>
    <w:p w14:paraId="02C2A584" w14:textId="77777777" w:rsidR="00562829" w:rsidRPr="00562829" w:rsidRDefault="00562829" w:rsidP="00562829">
      <w:pPr>
        <w:numPr>
          <w:ilvl w:val="1"/>
          <w:numId w:val="12"/>
        </w:numPr>
      </w:pPr>
      <w:r w:rsidRPr="00562829">
        <w:t xml:space="preserve">Grey literature will be collected through existing resources shared by CBM Global and its partners. </w:t>
      </w:r>
    </w:p>
    <w:p w14:paraId="005465B1" w14:textId="77777777" w:rsidR="00562829" w:rsidRPr="00562829" w:rsidRDefault="00562829" w:rsidP="00562829">
      <w:pPr>
        <w:numPr>
          <w:ilvl w:val="1"/>
          <w:numId w:val="12"/>
        </w:numPr>
      </w:pPr>
      <w:r w:rsidRPr="00562829">
        <w:t>A search of Google will be undertaken with the first 3 pages screened.</w:t>
      </w:r>
    </w:p>
    <w:p w14:paraId="40CDD546" w14:textId="77777777" w:rsidR="00562829" w:rsidRPr="00562829" w:rsidRDefault="00562829" w:rsidP="00562829">
      <w:pPr>
        <w:numPr>
          <w:ilvl w:val="0"/>
          <w:numId w:val="12"/>
        </w:numPr>
      </w:pPr>
      <w:r w:rsidRPr="00562829">
        <w:t>Inclusion/exclusion criteria:</w:t>
      </w:r>
    </w:p>
    <w:p w14:paraId="337BC214" w14:textId="77777777" w:rsidR="00562829" w:rsidRPr="00562829" w:rsidRDefault="00562829" w:rsidP="00562829">
      <w:pPr>
        <w:numPr>
          <w:ilvl w:val="1"/>
          <w:numId w:val="12"/>
        </w:numPr>
      </w:pPr>
      <w:r w:rsidRPr="00562829">
        <w:t>The search is guided by the question: What is the evidence on the collection and use of disability data in eye health programming in low and middle-income countries?</w:t>
      </w:r>
    </w:p>
    <w:p w14:paraId="2DD1592D" w14:textId="77777777" w:rsidR="00562829" w:rsidRPr="00562829" w:rsidRDefault="00562829" w:rsidP="00562829">
      <w:pPr>
        <w:numPr>
          <w:ilvl w:val="1"/>
          <w:numId w:val="12"/>
        </w:numPr>
      </w:pPr>
      <w:r w:rsidRPr="00562829">
        <w:lastRenderedPageBreak/>
        <w:t>To be included, evidence must relate to “disability data” + “eye health” + “low and middle-income countries”.</w:t>
      </w:r>
    </w:p>
    <w:p w14:paraId="5356DA01" w14:textId="77777777" w:rsidR="00562829" w:rsidRPr="00562829" w:rsidRDefault="00562829" w:rsidP="00562829">
      <w:pPr>
        <w:numPr>
          <w:ilvl w:val="1"/>
          <w:numId w:val="12"/>
        </w:numPr>
      </w:pPr>
      <w:r w:rsidRPr="00562829">
        <w:t>If insufficient evidence is sourced through a first search, a second search with expanded criteria may be conducted. This would include:</w:t>
      </w:r>
    </w:p>
    <w:p w14:paraId="45F63D37" w14:textId="77777777" w:rsidR="00562829" w:rsidRPr="00562829" w:rsidRDefault="00562829" w:rsidP="00562829">
      <w:pPr>
        <w:numPr>
          <w:ilvl w:val="2"/>
          <w:numId w:val="12"/>
        </w:numPr>
      </w:pPr>
      <w:r w:rsidRPr="00562829">
        <w:t>“</w:t>
      </w:r>
      <w:proofErr w:type="gramStart"/>
      <w:r w:rsidRPr="00562829">
        <w:t>disability</w:t>
      </w:r>
      <w:proofErr w:type="gramEnd"/>
      <w:r w:rsidRPr="00562829">
        <w:t xml:space="preserve"> data” + “eye health” OR</w:t>
      </w:r>
    </w:p>
    <w:p w14:paraId="1297538E" w14:textId="77777777" w:rsidR="00562829" w:rsidRPr="00562829" w:rsidRDefault="00562829" w:rsidP="00562829">
      <w:pPr>
        <w:numPr>
          <w:ilvl w:val="2"/>
          <w:numId w:val="12"/>
        </w:numPr>
      </w:pPr>
      <w:r w:rsidRPr="00562829">
        <w:t>“</w:t>
      </w:r>
      <w:proofErr w:type="gramStart"/>
      <w:r w:rsidRPr="00562829">
        <w:t>disability</w:t>
      </w:r>
      <w:proofErr w:type="gramEnd"/>
      <w:r w:rsidRPr="00562829">
        <w:t xml:space="preserve"> data” + “health” + “low and middle-income countries”</w:t>
      </w:r>
    </w:p>
    <w:p w14:paraId="526D29A1" w14:textId="77777777" w:rsidR="00562829" w:rsidRPr="00562829" w:rsidRDefault="00562829" w:rsidP="00562829">
      <w:pPr>
        <w:numPr>
          <w:ilvl w:val="0"/>
          <w:numId w:val="12"/>
        </w:numPr>
      </w:pPr>
      <w:r w:rsidRPr="00562829">
        <w:t>Search terms:</w:t>
      </w:r>
    </w:p>
    <w:p w14:paraId="40E2E46C" w14:textId="77777777" w:rsidR="00562829" w:rsidRPr="00562829" w:rsidRDefault="00562829" w:rsidP="00562829">
      <w:pPr>
        <w:numPr>
          <w:ilvl w:val="1"/>
          <w:numId w:val="12"/>
        </w:numPr>
      </w:pPr>
      <w:r w:rsidRPr="00562829">
        <w:t>disability AND (“Washington Group” OR "disability data" OR “disaggregation” OR “disaggregated”) AND (“eye health” OR “eye hospital” OR “vision correction” OR “preventable blindness” OR “vision health”) AND (“developing country” OR “low- and middle-income country” OR “LMICs” OR “global south”)</w:t>
      </w:r>
    </w:p>
    <w:p w14:paraId="5B61E264" w14:textId="20EE5406" w:rsidR="00562829" w:rsidRPr="00562829" w:rsidRDefault="00562829" w:rsidP="00562829">
      <w:pPr>
        <w:numPr>
          <w:ilvl w:val="1"/>
          <w:numId w:val="12"/>
        </w:numPr>
      </w:pPr>
      <w:r w:rsidRPr="00562829">
        <w:t>Date range will be set to last 1</w:t>
      </w:r>
      <w:r w:rsidR="00541109">
        <w:t>2</w:t>
      </w:r>
      <w:r w:rsidRPr="00562829">
        <w:t xml:space="preserve"> years (2012 – 2023).</w:t>
      </w:r>
    </w:p>
    <w:p w14:paraId="4B013A4F" w14:textId="4BF24C12" w:rsidR="00E85499" w:rsidRDefault="00541109" w:rsidP="008E3258">
      <w:pPr>
        <w:pStyle w:val="Heading2"/>
      </w:pPr>
      <w:bookmarkStart w:id="21" w:name="_Toc135388378"/>
      <w:r>
        <w:t>Academic and grey literature searches</w:t>
      </w:r>
      <w:bookmarkEnd w:id="21"/>
    </w:p>
    <w:p w14:paraId="7A1965AA" w14:textId="77777777" w:rsidR="007A229F" w:rsidRDefault="007A229F" w:rsidP="007A229F">
      <w:r>
        <w:t>The review of academic and grey literature was conducted as follows:</w:t>
      </w:r>
    </w:p>
    <w:p w14:paraId="3B5E1C5A" w14:textId="77777777" w:rsidR="007A229F" w:rsidRPr="00B02F54" w:rsidRDefault="007A229F" w:rsidP="007A229F">
      <w:pPr>
        <w:pStyle w:val="ListParagraph"/>
        <w:numPr>
          <w:ilvl w:val="0"/>
          <w:numId w:val="11"/>
        </w:numPr>
      </w:pPr>
      <w:r w:rsidRPr="001F2F43">
        <w:rPr>
          <w:b/>
          <w:bCs/>
        </w:rPr>
        <w:t xml:space="preserve">Scopus </w:t>
      </w:r>
      <w:r w:rsidRPr="001F2F43">
        <w:t>s</w:t>
      </w:r>
      <w:r>
        <w:t xml:space="preserve">earch conducted (date &gt;1/1/2012, fields=all): </w:t>
      </w:r>
      <w:r w:rsidRPr="00B02F54">
        <w:t>disability AND (“Washington Group” OR "disability data" OR “disaggregation” OR “disaggregated”) AND (“eye health” OR “eye hospital” OR “vision correction” OR “preventable blindness” OR “vision health”) AND (“developing country” OR “low- and middle-income country” OR “LMICs” OR “global south”)</w:t>
      </w:r>
      <w:r>
        <w:t xml:space="preserve"> – 36 results returned</w:t>
      </w:r>
    </w:p>
    <w:p w14:paraId="24726A42" w14:textId="77777777" w:rsidR="007A229F" w:rsidRPr="00B02F54" w:rsidRDefault="007A229F" w:rsidP="007A229F">
      <w:pPr>
        <w:pStyle w:val="ListParagraph"/>
        <w:numPr>
          <w:ilvl w:val="1"/>
          <w:numId w:val="11"/>
        </w:numPr>
      </w:pPr>
      <w:r>
        <w:t>Repeated without “</w:t>
      </w:r>
      <w:r w:rsidRPr="00B02F54">
        <w:t>(“developing country” OR “low- and middle-income country” OR “LMICs” OR “global south”)</w:t>
      </w:r>
      <w:r>
        <w:t>” – 57 results returned</w:t>
      </w:r>
    </w:p>
    <w:p w14:paraId="54633D58" w14:textId="77777777" w:rsidR="007A229F" w:rsidRPr="00B02F54" w:rsidRDefault="007A229F" w:rsidP="007A229F">
      <w:pPr>
        <w:pStyle w:val="ListParagraph"/>
        <w:numPr>
          <w:ilvl w:val="0"/>
          <w:numId w:val="11"/>
        </w:numPr>
      </w:pPr>
      <w:r>
        <w:rPr>
          <w:b/>
          <w:bCs/>
        </w:rPr>
        <w:t xml:space="preserve">PubMed </w:t>
      </w:r>
      <w:r>
        <w:t xml:space="preserve">search conducted (date &gt;1/1/2012): </w:t>
      </w:r>
      <w:r w:rsidRPr="00B02F54">
        <w:t>disability AND (“Washington Group” OR "disability data" OR “disaggregation” OR “disaggregated”) AND (“eye health” OR “eye hospital” OR “vision correction” OR “preventable blindness” OR “vision health”) AND (“developing country” OR “low- and middle-income country” OR “LMICs” OR “global south”)</w:t>
      </w:r>
      <w:r>
        <w:t xml:space="preserve"> – 4 results returned</w:t>
      </w:r>
    </w:p>
    <w:p w14:paraId="7E352ADD" w14:textId="77777777" w:rsidR="007A229F" w:rsidRDefault="007A229F" w:rsidP="007A229F">
      <w:pPr>
        <w:pStyle w:val="ListParagraph"/>
        <w:numPr>
          <w:ilvl w:val="1"/>
          <w:numId w:val="11"/>
        </w:numPr>
      </w:pPr>
      <w:r>
        <w:t>Repeated without “</w:t>
      </w:r>
      <w:r w:rsidRPr="00B02F54">
        <w:t>(“developing country” OR “low- and middle-income country” OR “LMICs” OR “global south”)</w:t>
      </w:r>
      <w:r>
        <w:t>” – 11 results returned</w:t>
      </w:r>
    </w:p>
    <w:p w14:paraId="58BA4E94" w14:textId="77777777" w:rsidR="007A229F" w:rsidRDefault="007A229F" w:rsidP="007A229F">
      <w:pPr>
        <w:pStyle w:val="ListParagraph"/>
        <w:numPr>
          <w:ilvl w:val="0"/>
          <w:numId w:val="11"/>
        </w:numPr>
      </w:pPr>
      <w:r w:rsidRPr="009F04BE">
        <w:rPr>
          <w:b/>
          <w:bCs/>
        </w:rPr>
        <w:t>Google Scholar</w:t>
      </w:r>
      <w:r>
        <w:t xml:space="preserve"> search conducted (date &gt;1/1/2012): </w:t>
      </w:r>
      <w:r w:rsidRPr="00974D84">
        <w:t>disability “eye health” “Washington Group” OR "disability data" OR “disaggregation” OR “disaggregated”</w:t>
      </w:r>
      <w:r>
        <w:t xml:space="preserve"> – first 3 pages reviewed</w:t>
      </w:r>
    </w:p>
    <w:p w14:paraId="7E656BFD" w14:textId="77777777" w:rsidR="007A229F" w:rsidRPr="00B02F54" w:rsidRDefault="007A229F" w:rsidP="007A229F">
      <w:pPr>
        <w:pStyle w:val="ListParagraph"/>
        <w:numPr>
          <w:ilvl w:val="0"/>
          <w:numId w:val="11"/>
        </w:numPr>
      </w:pPr>
      <w:r w:rsidRPr="001F2F43">
        <w:rPr>
          <w:b/>
          <w:bCs/>
        </w:rPr>
        <w:t>Google</w:t>
      </w:r>
      <w:r>
        <w:t xml:space="preserve"> search conducted (date &gt;1/1/2012): </w:t>
      </w:r>
      <w:r w:rsidRPr="00B02F54">
        <w:t>disability AND (“Washington Group” OR "disability data" OR “disaggregation” OR “disaggregated”) AND (“eye health” OR “eye hospital” OR “vision correction” OR “preventable blindness” OR “vision health”) AND (“developing country” OR “low- and middle-income country” OR “LMICs” OR “global south”)</w:t>
      </w:r>
      <w:r>
        <w:t xml:space="preserve"> – first 3 pages reviewed</w:t>
      </w:r>
    </w:p>
    <w:p w14:paraId="13ECBC27" w14:textId="77777777" w:rsidR="007A229F" w:rsidRPr="00B02F54" w:rsidRDefault="007A229F" w:rsidP="007A229F">
      <w:pPr>
        <w:pStyle w:val="ListParagraph"/>
        <w:numPr>
          <w:ilvl w:val="1"/>
          <w:numId w:val="11"/>
        </w:numPr>
      </w:pPr>
      <w:r>
        <w:t>Repeated without “</w:t>
      </w:r>
      <w:r w:rsidRPr="00B02F54">
        <w:t>(“developing country” OR “low- and middle-income country” OR “LMICs” OR “global south”)</w:t>
      </w:r>
      <w:r>
        <w:t>” – first 3 pages reviewed</w:t>
      </w:r>
    </w:p>
    <w:p w14:paraId="7BFAE5BA" w14:textId="25D87566" w:rsidR="007A229F" w:rsidRDefault="007A229F" w:rsidP="007A229F">
      <w:pPr>
        <w:pStyle w:val="ListParagraph"/>
        <w:numPr>
          <w:ilvl w:val="0"/>
          <w:numId w:val="11"/>
        </w:numPr>
      </w:pPr>
      <w:r>
        <w:lastRenderedPageBreak/>
        <w:t>Resources were screened for relevance against inclusion criteria (</w:t>
      </w:r>
      <w:r>
        <w:fldChar w:fldCharType="begin"/>
      </w:r>
      <w:r>
        <w:instrText xml:space="preserve"> REF  _Ref129946276 \h </w:instrText>
      </w:r>
      <w:r>
        <w:fldChar w:fldCharType="separate"/>
      </w:r>
      <w:r w:rsidR="00985133">
        <w:t>Annex 1: Evidence summary protocol</w:t>
      </w:r>
      <w:r>
        <w:fldChar w:fldCharType="end"/>
      </w:r>
      <w:r>
        <w:t xml:space="preserve">). Literature was excluded if disability data was only briefly </w:t>
      </w:r>
      <w:proofErr w:type="gramStart"/>
      <w:r>
        <w:t>mentioned;</w:t>
      </w:r>
      <w:proofErr w:type="gramEnd"/>
      <w:r>
        <w:t xml:space="preserve"> e.g. where its absence was noted, or its presence was noted only in passing. Literature mentioning eye health but relating primarily to disability data and health was included. Literature presenting findings based on population data on disability and eye health were excluded, except for key resources presenting evidence of the link between disability and eye health issues and explaining methodologies used to generate this evidence.</w:t>
      </w:r>
    </w:p>
    <w:p w14:paraId="634C0E4C" w14:textId="77777777" w:rsidR="007A229F" w:rsidRDefault="007A229F" w:rsidP="007A229F">
      <w:pPr>
        <w:pStyle w:val="ListParagraph"/>
        <w:numPr>
          <w:ilvl w:val="0"/>
          <w:numId w:val="11"/>
        </w:numPr>
      </w:pPr>
      <w:r>
        <w:t>Key references cited within each resource were also screened for relevance.</w:t>
      </w:r>
    </w:p>
    <w:p w14:paraId="1CF4E59C" w14:textId="4DFED816" w:rsidR="007A229F" w:rsidRPr="007A229F" w:rsidRDefault="007A229F" w:rsidP="007A229F">
      <w:pPr>
        <w:pStyle w:val="ListParagraph"/>
        <w:numPr>
          <w:ilvl w:val="0"/>
          <w:numId w:val="11"/>
        </w:numPr>
      </w:pPr>
      <w:r>
        <w:t>Existing relevant resources produced by or known to IAG were reviewed, including those relating to disability data and eye health as well as resources relating to disability data in development and humanitarian sectors and in general health programming.</w:t>
      </w:r>
    </w:p>
    <w:p w14:paraId="55370A64" w14:textId="26A96129" w:rsidR="00562829" w:rsidRPr="00562829" w:rsidRDefault="00562829" w:rsidP="008E3258">
      <w:pPr>
        <w:pStyle w:val="Heading2"/>
      </w:pPr>
      <w:bookmarkStart w:id="22" w:name="_Toc135388379"/>
      <w:r w:rsidRPr="00562829">
        <w:t>Key informant interviews</w:t>
      </w:r>
      <w:bookmarkEnd w:id="22"/>
    </w:p>
    <w:p w14:paraId="3B968608" w14:textId="77777777" w:rsidR="00562829" w:rsidRPr="00562829" w:rsidRDefault="00562829" w:rsidP="00562829">
      <w:r w:rsidRPr="00562829">
        <w:t xml:space="preserve">Semi-structured interviews will be held remotely with the following key informants, based on interview guides (see annex below): </w:t>
      </w:r>
    </w:p>
    <w:p w14:paraId="18A0A35F" w14:textId="047E61D8" w:rsidR="00562829" w:rsidRPr="00562829" w:rsidRDefault="00C11684" w:rsidP="00562829">
      <w:pPr>
        <w:numPr>
          <w:ilvl w:val="0"/>
          <w:numId w:val="5"/>
        </w:numPr>
      </w:pPr>
      <w:r>
        <w:t>The Fred Hollows Foundation</w:t>
      </w:r>
      <w:r w:rsidR="00562829" w:rsidRPr="00562829">
        <w:t xml:space="preserve"> staff – selection of program development, advocacy, inclusion, MEL staff (head office); program managers/leads (country office)</w:t>
      </w:r>
    </w:p>
    <w:p w14:paraId="65A82B68" w14:textId="77777777" w:rsidR="00562829" w:rsidRPr="00562829" w:rsidRDefault="00562829" w:rsidP="00562829">
      <w:pPr>
        <w:numPr>
          <w:ilvl w:val="0"/>
          <w:numId w:val="5"/>
        </w:numPr>
      </w:pPr>
      <w:proofErr w:type="spellStart"/>
      <w:r w:rsidRPr="00562829">
        <w:t>Sightsavers</w:t>
      </w:r>
      <w:proofErr w:type="spellEnd"/>
      <w:r w:rsidRPr="00562829">
        <w:t xml:space="preserve"> International – </w:t>
      </w:r>
      <w:proofErr w:type="spellStart"/>
      <w:r w:rsidRPr="00562829">
        <w:t>Sumrana</w:t>
      </w:r>
      <w:proofErr w:type="spellEnd"/>
      <w:r w:rsidRPr="00562829">
        <w:t xml:space="preserve"> Yasmin</w:t>
      </w:r>
    </w:p>
    <w:p w14:paraId="7F9621F3" w14:textId="77777777" w:rsidR="00562829" w:rsidRPr="00562829" w:rsidRDefault="00562829" w:rsidP="00562829">
      <w:pPr>
        <w:numPr>
          <w:ilvl w:val="0"/>
          <w:numId w:val="5"/>
        </w:numPr>
      </w:pPr>
      <w:r w:rsidRPr="00562829">
        <w:t xml:space="preserve">Light for the World – Klaus </w:t>
      </w:r>
      <w:proofErr w:type="spellStart"/>
      <w:r w:rsidRPr="00562829">
        <w:t>Minihuber</w:t>
      </w:r>
      <w:proofErr w:type="spellEnd"/>
      <w:r w:rsidRPr="00562829">
        <w:t xml:space="preserve"> (HQ), </w:t>
      </w:r>
      <w:proofErr w:type="spellStart"/>
      <w:r w:rsidRPr="00562829">
        <w:t>Janete</w:t>
      </w:r>
      <w:proofErr w:type="spellEnd"/>
      <w:r w:rsidRPr="00562829">
        <w:t xml:space="preserve"> </w:t>
      </w:r>
      <w:proofErr w:type="spellStart"/>
      <w:r w:rsidRPr="00562829">
        <w:t>Conforme</w:t>
      </w:r>
      <w:proofErr w:type="spellEnd"/>
      <w:r w:rsidRPr="00562829">
        <w:t xml:space="preserve"> (Mozambique)</w:t>
      </w:r>
    </w:p>
    <w:p w14:paraId="3DA15A11" w14:textId="77777777" w:rsidR="00562829" w:rsidRPr="00562829" w:rsidRDefault="00562829" w:rsidP="00562829">
      <w:pPr>
        <w:numPr>
          <w:ilvl w:val="0"/>
          <w:numId w:val="5"/>
        </w:numPr>
      </w:pPr>
      <w:r w:rsidRPr="00562829">
        <w:t>Humanity and Inclusion – Gisela Berger</w:t>
      </w:r>
    </w:p>
    <w:p w14:paraId="72092281" w14:textId="77777777" w:rsidR="00562829" w:rsidRPr="00562829" w:rsidRDefault="00562829" w:rsidP="00562829">
      <w:pPr>
        <w:numPr>
          <w:ilvl w:val="0"/>
          <w:numId w:val="5"/>
        </w:numPr>
      </w:pPr>
      <w:r w:rsidRPr="00562829">
        <w:t xml:space="preserve">CBM Global – Danny Haddad, CBM Global; Laura Nicholson, CBM Australia; Vivian </w:t>
      </w:r>
      <w:proofErr w:type="spellStart"/>
      <w:r w:rsidRPr="00562829">
        <w:t>Kameloh</w:t>
      </w:r>
      <w:proofErr w:type="spellEnd"/>
      <w:r w:rsidRPr="00562829">
        <w:t>, CBM Indonesia</w:t>
      </w:r>
    </w:p>
    <w:p w14:paraId="637D9104" w14:textId="77777777" w:rsidR="00562829" w:rsidRPr="00562829" w:rsidRDefault="00562829" w:rsidP="00562829">
      <w:pPr>
        <w:numPr>
          <w:ilvl w:val="0"/>
          <w:numId w:val="5"/>
        </w:numPr>
      </w:pPr>
      <w:r w:rsidRPr="00562829">
        <w:t>CBM International – Babar Qureshi, Martina Freiberg</w:t>
      </w:r>
    </w:p>
    <w:p w14:paraId="633144DB" w14:textId="77777777" w:rsidR="00562829" w:rsidRPr="00562829" w:rsidRDefault="00562829" w:rsidP="00562829">
      <w:pPr>
        <w:numPr>
          <w:ilvl w:val="0"/>
          <w:numId w:val="5"/>
        </w:numPr>
      </w:pPr>
      <w:r w:rsidRPr="00562829">
        <w:t>ICEH/ICED (London School of Hygiene and Tropical Medicine) – Islay McTaggart</w:t>
      </w:r>
    </w:p>
    <w:p w14:paraId="742B6FCE" w14:textId="77777777" w:rsidR="00562829" w:rsidRPr="00562829" w:rsidRDefault="00562829" w:rsidP="00562829">
      <w:pPr>
        <w:numPr>
          <w:ilvl w:val="0"/>
          <w:numId w:val="5"/>
        </w:numPr>
      </w:pPr>
      <w:r w:rsidRPr="00562829">
        <w:t>World Blind Union – (TBC – depending on relevance)</w:t>
      </w:r>
    </w:p>
    <w:p w14:paraId="416D2168" w14:textId="247F2F62" w:rsidR="00562829" w:rsidRPr="00562829" w:rsidRDefault="00562829" w:rsidP="008E3258">
      <w:pPr>
        <w:pStyle w:val="Heading2"/>
      </w:pPr>
      <w:bookmarkStart w:id="23" w:name="_Toc135388380"/>
      <w:r w:rsidRPr="00562829">
        <w:t xml:space="preserve">Interview guide – </w:t>
      </w:r>
      <w:r w:rsidR="00C11684">
        <w:t>The Fred Hollows Foundation</w:t>
      </w:r>
      <w:r w:rsidRPr="00562829">
        <w:t xml:space="preserve"> staff</w:t>
      </w:r>
      <w:bookmarkEnd w:id="23"/>
    </w:p>
    <w:p w14:paraId="12A75818" w14:textId="77777777" w:rsidR="00562829" w:rsidRPr="00562829" w:rsidRDefault="00562829" w:rsidP="00562829">
      <w:pPr>
        <w:numPr>
          <w:ilvl w:val="0"/>
          <w:numId w:val="5"/>
        </w:numPr>
      </w:pPr>
      <w:r w:rsidRPr="00562829">
        <w:t>Practices and/or experiences relating to disability data at the country program/project level to date - E.g.</w:t>
      </w:r>
    </w:p>
    <w:p w14:paraId="38EB44DF" w14:textId="77777777" w:rsidR="00562829" w:rsidRPr="00562829" w:rsidRDefault="00562829" w:rsidP="00562829">
      <w:pPr>
        <w:numPr>
          <w:ilvl w:val="1"/>
          <w:numId w:val="5"/>
        </w:numPr>
      </w:pPr>
      <w:r w:rsidRPr="00562829">
        <w:t>What is understood to be "disability data"?</w:t>
      </w:r>
    </w:p>
    <w:p w14:paraId="34BDE2AC" w14:textId="77777777" w:rsidR="00562829" w:rsidRPr="00562829" w:rsidRDefault="00562829" w:rsidP="00562829">
      <w:pPr>
        <w:numPr>
          <w:ilvl w:val="1"/>
          <w:numId w:val="5"/>
        </w:numPr>
      </w:pPr>
      <w:r w:rsidRPr="00562829">
        <w:t>What data is collected?</w:t>
      </w:r>
    </w:p>
    <w:p w14:paraId="73ADBB25" w14:textId="77777777" w:rsidR="00562829" w:rsidRPr="00562829" w:rsidRDefault="00562829" w:rsidP="00562829">
      <w:pPr>
        <w:numPr>
          <w:ilvl w:val="1"/>
          <w:numId w:val="5"/>
        </w:numPr>
      </w:pPr>
      <w:r w:rsidRPr="00562829">
        <w:t>How is it collected/by whom?</w:t>
      </w:r>
    </w:p>
    <w:p w14:paraId="6AF17266" w14:textId="77777777" w:rsidR="00562829" w:rsidRPr="00562829" w:rsidRDefault="00562829" w:rsidP="00562829">
      <w:pPr>
        <w:numPr>
          <w:ilvl w:val="1"/>
          <w:numId w:val="5"/>
        </w:numPr>
      </w:pPr>
      <w:r w:rsidRPr="00562829">
        <w:t>How does disability data fit within broader project cycle management and/or MEL?</w:t>
      </w:r>
    </w:p>
    <w:p w14:paraId="4BBEABEA" w14:textId="77777777" w:rsidR="00562829" w:rsidRPr="00562829" w:rsidRDefault="00562829" w:rsidP="00562829">
      <w:pPr>
        <w:numPr>
          <w:ilvl w:val="1"/>
          <w:numId w:val="5"/>
        </w:numPr>
      </w:pPr>
      <w:r w:rsidRPr="00562829">
        <w:t>How is disability data used? What are your objectives for collecting data?</w:t>
      </w:r>
    </w:p>
    <w:p w14:paraId="6CD60965" w14:textId="77777777" w:rsidR="00562829" w:rsidRPr="00562829" w:rsidRDefault="00562829" w:rsidP="00562829">
      <w:pPr>
        <w:numPr>
          <w:ilvl w:val="0"/>
          <w:numId w:val="5"/>
        </w:numPr>
      </w:pPr>
      <w:r w:rsidRPr="00562829">
        <w:lastRenderedPageBreak/>
        <w:t>From your perspective, what have been some of the successes, challenges and key learning to date?</w:t>
      </w:r>
    </w:p>
    <w:p w14:paraId="6A335C47" w14:textId="065B81B2" w:rsidR="00562829" w:rsidRPr="00562829" w:rsidRDefault="00562829" w:rsidP="00562829">
      <w:pPr>
        <w:numPr>
          <w:ilvl w:val="0"/>
          <w:numId w:val="5"/>
        </w:numPr>
      </w:pPr>
      <w:r w:rsidRPr="00562829">
        <w:t xml:space="preserve">What do you see as the key priorities or entry points for </w:t>
      </w:r>
      <w:r w:rsidR="00C11684">
        <w:t>The Foundation</w:t>
      </w:r>
      <w:r w:rsidRPr="00562829">
        <w:t xml:space="preserve"> (as a whole) to strengthen its practices relating to disability data?</w:t>
      </w:r>
    </w:p>
    <w:p w14:paraId="4F6801E8" w14:textId="77777777" w:rsidR="00562829" w:rsidRPr="00562829" w:rsidRDefault="00562829" w:rsidP="00562829">
      <w:pPr>
        <w:numPr>
          <w:ilvl w:val="0"/>
          <w:numId w:val="5"/>
        </w:numPr>
      </w:pPr>
      <w:r w:rsidRPr="00562829">
        <w:t>Are there specific opportunities for the country team?</w:t>
      </w:r>
    </w:p>
    <w:p w14:paraId="641E139F" w14:textId="77777777" w:rsidR="00562829" w:rsidRPr="00562829" w:rsidRDefault="00562829" w:rsidP="00562829">
      <w:pPr>
        <w:numPr>
          <w:ilvl w:val="0"/>
          <w:numId w:val="5"/>
        </w:numPr>
      </w:pPr>
      <w:r w:rsidRPr="00562829">
        <w:t xml:space="preserve">What existing guidance on disability data have you used? Are there gaps in that guidance that need addressing? </w:t>
      </w:r>
    </w:p>
    <w:p w14:paraId="70E39BA4" w14:textId="77777777" w:rsidR="00562829" w:rsidRPr="00562829" w:rsidRDefault="00562829" w:rsidP="00562829">
      <w:pPr>
        <w:numPr>
          <w:ilvl w:val="0"/>
          <w:numId w:val="5"/>
        </w:numPr>
      </w:pPr>
      <w:r w:rsidRPr="00562829">
        <w:t xml:space="preserve">Do you have any other comments or examples to share that could help inform this project? Or any questions? </w:t>
      </w:r>
    </w:p>
    <w:p w14:paraId="66D6DD75" w14:textId="45375EB8" w:rsidR="00562829" w:rsidRPr="00562829" w:rsidRDefault="00562829" w:rsidP="008E3258">
      <w:pPr>
        <w:pStyle w:val="Heading2"/>
      </w:pPr>
      <w:bookmarkStart w:id="24" w:name="_Toc135388381"/>
      <w:r w:rsidRPr="00562829">
        <w:t>Interview guide – External</w:t>
      </w:r>
      <w:bookmarkEnd w:id="24"/>
    </w:p>
    <w:p w14:paraId="5BFACD82" w14:textId="77777777" w:rsidR="00562829" w:rsidRPr="00562829" w:rsidRDefault="00562829" w:rsidP="00562829">
      <w:pPr>
        <w:numPr>
          <w:ilvl w:val="0"/>
          <w:numId w:val="5"/>
        </w:numPr>
      </w:pPr>
      <w:r w:rsidRPr="00562829">
        <w:t>What are your/your organisation’s experiences relating to the collection and use of disability data in eye health programming?</w:t>
      </w:r>
    </w:p>
    <w:p w14:paraId="3FAAE5AB" w14:textId="77777777" w:rsidR="00562829" w:rsidRPr="00562829" w:rsidRDefault="00562829" w:rsidP="00562829">
      <w:pPr>
        <w:numPr>
          <w:ilvl w:val="1"/>
          <w:numId w:val="5"/>
        </w:numPr>
      </w:pPr>
      <w:r w:rsidRPr="00562829">
        <w:t>What types of data are collected?</w:t>
      </w:r>
    </w:p>
    <w:p w14:paraId="1A39AB1D" w14:textId="77777777" w:rsidR="00562829" w:rsidRPr="00562829" w:rsidRDefault="00562829" w:rsidP="00562829">
      <w:pPr>
        <w:numPr>
          <w:ilvl w:val="1"/>
          <w:numId w:val="5"/>
        </w:numPr>
      </w:pPr>
      <w:r w:rsidRPr="00562829">
        <w:t>Where/how is it collected?</w:t>
      </w:r>
    </w:p>
    <w:p w14:paraId="316630C8" w14:textId="77777777" w:rsidR="00562829" w:rsidRPr="00562829" w:rsidRDefault="00562829" w:rsidP="00562829">
      <w:pPr>
        <w:numPr>
          <w:ilvl w:val="1"/>
          <w:numId w:val="5"/>
        </w:numPr>
      </w:pPr>
      <w:r w:rsidRPr="00562829">
        <w:t>How is disability data used? What are your objectives for collecting data?</w:t>
      </w:r>
    </w:p>
    <w:p w14:paraId="386A39CE" w14:textId="77777777" w:rsidR="00562829" w:rsidRPr="00562829" w:rsidRDefault="00562829" w:rsidP="00562829">
      <w:pPr>
        <w:numPr>
          <w:ilvl w:val="0"/>
          <w:numId w:val="5"/>
        </w:numPr>
      </w:pPr>
      <w:r w:rsidRPr="00562829">
        <w:t>From your perspective, what have been the key lessons learnt to date relating to disability data in eye health programming?</w:t>
      </w:r>
    </w:p>
    <w:p w14:paraId="5E3862CF" w14:textId="77777777" w:rsidR="00562829" w:rsidRPr="00562829" w:rsidRDefault="00562829" w:rsidP="00562829">
      <w:pPr>
        <w:numPr>
          <w:ilvl w:val="1"/>
          <w:numId w:val="5"/>
        </w:numPr>
      </w:pPr>
      <w:r w:rsidRPr="00562829">
        <w:t>Key successes – and what enabled these?</w:t>
      </w:r>
    </w:p>
    <w:p w14:paraId="34338A46" w14:textId="77777777" w:rsidR="00562829" w:rsidRPr="00562829" w:rsidRDefault="00562829" w:rsidP="00562829">
      <w:pPr>
        <w:numPr>
          <w:ilvl w:val="1"/>
          <w:numId w:val="5"/>
        </w:numPr>
      </w:pPr>
      <w:r w:rsidRPr="00562829">
        <w:t>Key challenges – and any efforts/ideas to overcome these?</w:t>
      </w:r>
    </w:p>
    <w:p w14:paraId="384C688F" w14:textId="77777777" w:rsidR="00562829" w:rsidRPr="00562829" w:rsidRDefault="00562829" w:rsidP="00562829">
      <w:pPr>
        <w:numPr>
          <w:ilvl w:val="0"/>
          <w:numId w:val="5"/>
        </w:numPr>
      </w:pPr>
      <w:r w:rsidRPr="00562829">
        <w:t>Targeted learning questions:</w:t>
      </w:r>
    </w:p>
    <w:p w14:paraId="66541A93" w14:textId="77777777" w:rsidR="00562829" w:rsidRPr="00562829" w:rsidRDefault="00562829" w:rsidP="00562829">
      <w:pPr>
        <w:numPr>
          <w:ilvl w:val="1"/>
          <w:numId w:val="5"/>
        </w:numPr>
      </w:pPr>
      <w:r w:rsidRPr="00562829">
        <w:t>What types and sources of data are most useful to inform planning and evaluation of disability-inclusive eye health policies and projects?</w:t>
      </w:r>
    </w:p>
    <w:p w14:paraId="438C776F" w14:textId="77777777" w:rsidR="00562829" w:rsidRPr="00562829" w:rsidRDefault="00562829" w:rsidP="00562829">
      <w:pPr>
        <w:numPr>
          <w:ilvl w:val="1"/>
          <w:numId w:val="5"/>
        </w:numPr>
      </w:pPr>
      <w:r w:rsidRPr="00562829">
        <w:t>What are some potential ways to assess the extent to which persons with disabilities (other than vision-related disabilities) are accessing and benefiting from eye health services on an equal basis to others?</w:t>
      </w:r>
    </w:p>
    <w:p w14:paraId="7ECEA4BA" w14:textId="77777777" w:rsidR="00562829" w:rsidRPr="00562829" w:rsidRDefault="00562829" w:rsidP="00562829">
      <w:pPr>
        <w:numPr>
          <w:ilvl w:val="1"/>
          <w:numId w:val="5"/>
        </w:numPr>
      </w:pPr>
      <w:r w:rsidRPr="00562829">
        <w:t>How can WGQs be used to help understand the inclusiveness of services among a target population consisting of persons with vision difficulties? How does data on functional difficulties collected via the WGQs relate to other tools or measures of disability used within the eye health sector?</w:t>
      </w:r>
    </w:p>
    <w:p w14:paraId="589277BE" w14:textId="77777777" w:rsidR="00562829" w:rsidRPr="00562829" w:rsidRDefault="00562829" w:rsidP="00562829">
      <w:pPr>
        <w:numPr>
          <w:ilvl w:val="1"/>
          <w:numId w:val="5"/>
        </w:numPr>
      </w:pPr>
      <w:r w:rsidRPr="00562829">
        <w:t>Beyond point-of-service, what other opportunities are there to collect disability data?</w:t>
      </w:r>
    </w:p>
    <w:p w14:paraId="06089DC0" w14:textId="77777777" w:rsidR="00562829" w:rsidRPr="00562829" w:rsidRDefault="00562829" w:rsidP="00562829">
      <w:pPr>
        <w:numPr>
          <w:ilvl w:val="1"/>
          <w:numId w:val="5"/>
        </w:numPr>
      </w:pPr>
      <w:r w:rsidRPr="00562829">
        <w:t>How is disability data collection best managed at point of service? What resources or systems are used? How does this differ between hospital/centre-based and outreach/camps? Should disability data be collected from all patients, or a sample?</w:t>
      </w:r>
    </w:p>
    <w:p w14:paraId="13988D8B" w14:textId="77777777" w:rsidR="00562829" w:rsidRPr="00562829" w:rsidRDefault="00562829" w:rsidP="00562829">
      <w:pPr>
        <w:numPr>
          <w:ilvl w:val="1"/>
          <w:numId w:val="5"/>
        </w:numPr>
      </w:pPr>
      <w:r w:rsidRPr="00562829">
        <w:lastRenderedPageBreak/>
        <w:t>How do you decide on the most appropriate type of disability data to collect or data methodology to use in each project or context?</w:t>
      </w:r>
    </w:p>
    <w:p w14:paraId="5E7AC936" w14:textId="77777777" w:rsidR="00562829" w:rsidRPr="00562829" w:rsidRDefault="00562829" w:rsidP="00562829">
      <w:pPr>
        <w:numPr>
          <w:ilvl w:val="1"/>
          <w:numId w:val="5"/>
        </w:numPr>
      </w:pPr>
      <w:r w:rsidRPr="00562829">
        <w:t>How can RAAB and other secondary disability and eye health data best be strengthened or used?</w:t>
      </w:r>
    </w:p>
    <w:p w14:paraId="278613E8" w14:textId="77777777" w:rsidR="00562829" w:rsidRPr="00562829" w:rsidRDefault="00562829" w:rsidP="00562829">
      <w:pPr>
        <w:numPr>
          <w:ilvl w:val="1"/>
          <w:numId w:val="5"/>
        </w:numPr>
      </w:pPr>
      <w:r w:rsidRPr="00562829">
        <w:t xml:space="preserve">What examples are there of national/sub-national/facility-level collection of disability data with HMIS’s in </w:t>
      </w:r>
      <w:proofErr w:type="gramStart"/>
      <w:r w:rsidRPr="00562829">
        <w:t>low and middle income</w:t>
      </w:r>
      <w:proofErr w:type="gramEnd"/>
      <w:r w:rsidRPr="00562829">
        <w:t xml:space="preserve"> countries? What has worked well, what tools are used, how did this come about? What is the relationship between data on functional difficulties (WGQs) and other measures of disability used within HMIS’s?</w:t>
      </w:r>
    </w:p>
    <w:p w14:paraId="5DB66559" w14:textId="77777777" w:rsidR="00562829" w:rsidRPr="00562829" w:rsidRDefault="00562829" w:rsidP="00562829">
      <w:pPr>
        <w:numPr>
          <w:ilvl w:val="1"/>
          <w:numId w:val="5"/>
        </w:numPr>
      </w:pPr>
      <w:r w:rsidRPr="00562829">
        <w:t>What are the key ethical standards/principles relating to disability data collection in eye health? How can these be met in practice?</w:t>
      </w:r>
    </w:p>
    <w:p w14:paraId="395AFEC5" w14:textId="77777777" w:rsidR="00562829" w:rsidRPr="00562829" w:rsidRDefault="00562829" w:rsidP="00562829">
      <w:pPr>
        <w:numPr>
          <w:ilvl w:val="0"/>
          <w:numId w:val="5"/>
        </w:numPr>
      </w:pPr>
      <w:r w:rsidRPr="00562829">
        <w:t>What do you see as the key priorities or opportunities for the eye health sector to strengthen its practices relating to disability data? Any suggestions for collaboration?</w:t>
      </w:r>
    </w:p>
    <w:p w14:paraId="72EC9392" w14:textId="77777777" w:rsidR="00562829" w:rsidRPr="00562829" w:rsidRDefault="00562829" w:rsidP="00562829">
      <w:pPr>
        <w:numPr>
          <w:ilvl w:val="0"/>
          <w:numId w:val="5"/>
        </w:numPr>
      </w:pPr>
      <w:r w:rsidRPr="00562829">
        <w:t xml:space="preserve">Do you have any other questions, comments or examples relating to this project? </w:t>
      </w:r>
    </w:p>
    <w:p w14:paraId="47AADF2C" w14:textId="0DF6879D" w:rsidR="00813416" w:rsidRDefault="00813416" w:rsidP="00813416">
      <w:pPr>
        <w:pStyle w:val="Heading1"/>
      </w:pPr>
      <w:bookmarkStart w:id="25" w:name="_Annex_2:_Annotated"/>
      <w:bookmarkStart w:id="26" w:name="_Toc135388382"/>
      <w:bookmarkEnd w:id="25"/>
      <w:r>
        <w:t>Annex 2: Annotated bibliography</w:t>
      </w:r>
      <w:bookmarkEnd w:id="26"/>
    </w:p>
    <w:p w14:paraId="354B6E0C" w14:textId="53A168F7" w:rsidR="00273EAC" w:rsidRPr="000B07AD" w:rsidRDefault="00273EAC" w:rsidP="000B07AD">
      <w:pPr>
        <w:pStyle w:val="Heading4"/>
      </w:pPr>
      <w:bookmarkStart w:id="27" w:name="_Hlk131168817"/>
      <w:r w:rsidRPr="000B07AD">
        <w:t xml:space="preserve">Boggs, D, Kuper, H, Mactaggart, I, Bright, T, Murthy, G, Hydara, A, McCormick, I, </w:t>
      </w:r>
      <w:proofErr w:type="spellStart"/>
      <w:r w:rsidRPr="000B07AD">
        <w:t>Tamblay</w:t>
      </w:r>
      <w:proofErr w:type="spellEnd"/>
      <w:r w:rsidRPr="000B07AD">
        <w:t xml:space="preserve">, N, Alvarez, ML, </w:t>
      </w:r>
      <w:proofErr w:type="spellStart"/>
      <w:r w:rsidRPr="000B07AD">
        <w:t>Atijosan</w:t>
      </w:r>
      <w:proofErr w:type="spellEnd"/>
      <w:r w:rsidRPr="000B07AD">
        <w:t xml:space="preserve">-Ayodele, O, </w:t>
      </w:r>
      <w:proofErr w:type="spellStart"/>
      <w:r w:rsidRPr="000B07AD">
        <w:t>Yonso</w:t>
      </w:r>
      <w:proofErr w:type="spellEnd"/>
      <w:r w:rsidRPr="000B07AD">
        <w:t>, H, Foster, A &amp; Polack, S 2022, ‘</w:t>
      </w:r>
      <w:hyperlink r:id="rId15" w:history="1">
        <w:r w:rsidRPr="000B07AD">
          <w:rPr>
            <w:rStyle w:val="Hyperlink"/>
          </w:rPr>
          <w:t>Exploring the Use of Washington Group Questions to Identify People with Clinical Impairments Who Need Services including Assistive Products: Results from Five Population-Based Surveys</w:t>
        </w:r>
      </w:hyperlink>
      <w:r w:rsidRPr="000B07AD">
        <w:t xml:space="preserve">’, </w:t>
      </w:r>
      <w:r w:rsidRPr="000B07AD">
        <w:rPr>
          <w:i/>
        </w:rPr>
        <w:t>International Journal of Environmental Research and Public Health</w:t>
      </w:r>
      <w:r w:rsidRPr="000B07AD">
        <w:t>, vol. 19, no. 7, p. 4304.</w:t>
      </w:r>
    </w:p>
    <w:bookmarkEnd w:id="27"/>
    <w:p w14:paraId="7244AFFB" w14:textId="4C55CC7D" w:rsidR="00C53761" w:rsidRDefault="00B12D3F" w:rsidP="00273EAC">
      <w:r>
        <w:t xml:space="preserve">This study </w:t>
      </w:r>
      <w:r w:rsidR="00FA58F6">
        <w:t xml:space="preserve">in 5 countries analysed the use of the </w:t>
      </w:r>
      <w:r w:rsidR="000A5DA8">
        <w:t xml:space="preserve">WG </w:t>
      </w:r>
      <w:r w:rsidR="00FA58F6">
        <w:t xml:space="preserve">questions as a first stage screening to identify people with referral needs relating to </w:t>
      </w:r>
      <w:r w:rsidR="00E3616A">
        <w:t xml:space="preserve">clinical impairments and assistive products, including those relating to vision. </w:t>
      </w:r>
      <w:r w:rsidR="00073811">
        <w:t xml:space="preserve">It compared </w:t>
      </w:r>
      <w:r w:rsidR="000A5DA8">
        <w:t xml:space="preserve">this data against clinical </w:t>
      </w:r>
      <w:proofErr w:type="gramStart"/>
      <w:r w:rsidR="000A5DA8">
        <w:t>assessments, and</w:t>
      </w:r>
      <w:proofErr w:type="gramEnd"/>
      <w:r w:rsidR="000A5DA8">
        <w:t xml:space="preserve"> found that the WG questions h</w:t>
      </w:r>
      <w:r w:rsidR="008321E7">
        <w:t>ad only limited-moderate sensitivity and specificity as a screen for</w:t>
      </w:r>
      <w:r w:rsidR="00A318D5">
        <w:t xml:space="preserve"> clinical</w:t>
      </w:r>
      <w:r w:rsidR="008321E7">
        <w:t xml:space="preserve"> impairments.</w:t>
      </w:r>
      <w:r w:rsidR="00BC3979">
        <w:t xml:space="preserve"> The cut-off “</w:t>
      </w:r>
      <w:r w:rsidR="006A3C45">
        <w:t>a lot</w:t>
      </w:r>
      <w:r w:rsidR="00BC3979">
        <w:t xml:space="preserve">+ difficulty” was </w:t>
      </w:r>
      <w:r w:rsidR="00B863BF">
        <w:t xml:space="preserve">highly </w:t>
      </w:r>
      <w:r w:rsidR="009264D9">
        <w:t>specific</w:t>
      </w:r>
      <w:r w:rsidR="00B863BF">
        <w:t xml:space="preserve"> (99%) at screening for vision </w:t>
      </w:r>
      <w:proofErr w:type="gramStart"/>
      <w:r w:rsidR="00B863BF">
        <w:t>impairment, but</w:t>
      </w:r>
      <w:proofErr w:type="gramEnd"/>
      <w:r w:rsidR="00B863BF">
        <w:t xml:space="preserve"> </w:t>
      </w:r>
      <w:r w:rsidR="007B1D57">
        <w:t xml:space="preserve">had very low </w:t>
      </w:r>
      <w:r w:rsidR="009264D9">
        <w:t xml:space="preserve">sensitivity </w:t>
      </w:r>
      <w:r w:rsidR="007B1D57">
        <w:t>(10-39%). The cut-off “</w:t>
      </w:r>
      <w:r w:rsidR="000438F9">
        <w:t>some</w:t>
      </w:r>
      <w:r w:rsidR="00CF32C9">
        <w:t xml:space="preserve">+ difficulty” </w:t>
      </w:r>
      <w:r w:rsidR="009264D9">
        <w:t xml:space="preserve">had good specificity </w:t>
      </w:r>
      <w:r w:rsidR="000438F9">
        <w:t xml:space="preserve">(78-80%) </w:t>
      </w:r>
      <w:r w:rsidR="009264D9">
        <w:t>and sensitivity</w:t>
      </w:r>
      <w:r w:rsidR="000438F9">
        <w:t xml:space="preserve"> </w:t>
      </w:r>
      <w:r w:rsidR="00A318D5">
        <w:t>(67-85%)</w:t>
      </w:r>
      <w:r w:rsidR="009264D9">
        <w:t>.</w:t>
      </w:r>
      <w:r w:rsidR="00FA7540">
        <w:t xml:space="preserve"> </w:t>
      </w:r>
      <w:r w:rsidR="00F155ED">
        <w:t>Comparable levels of sensitivity and specificity were also found for hearing, mobility and cognitive impairments.</w:t>
      </w:r>
      <w:r w:rsidR="008F48A7">
        <w:t xml:space="preserve"> </w:t>
      </w:r>
      <w:r w:rsidR="00DF366B">
        <w:t xml:space="preserve">The study also </w:t>
      </w:r>
      <w:r w:rsidR="00D70126">
        <w:t xml:space="preserve">examined the proportion of people identified </w:t>
      </w:r>
      <w:r w:rsidR="00C50B16">
        <w:t xml:space="preserve">by the WG questions who were assessed to require clinical </w:t>
      </w:r>
      <w:r w:rsidR="00A12178">
        <w:t>interventions, rehabilitation services or assistive products. For vision impairment</w:t>
      </w:r>
      <w:r w:rsidR="00977F26">
        <w:t>, the cut-off “some+ difficulty”</w:t>
      </w:r>
      <w:r w:rsidR="00855130">
        <w:t xml:space="preserve"> identified 73-85% of persons needing medical intervention and </w:t>
      </w:r>
      <w:r w:rsidR="00DE2CDD">
        <w:t xml:space="preserve">65-76% of persons needing rehabilitation or assistive products; the cut-off “a lot+ difficulty” identified </w:t>
      </w:r>
      <w:r w:rsidR="009E47CA">
        <w:t>13-40</w:t>
      </w:r>
      <w:r w:rsidR="00DE2CDD">
        <w:t xml:space="preserve">% of persons needing medical intervention and </w:t>
      </w:r>
      <w:r w:rsidR="009E47CA">
        <w:t>5-33</w:t>
      </w:r>
      <w:r w:rsidR="00DE2CDD">
        <w:t>% of persons needing rehabilitation or assistive products.</w:t>
      </w:r>
    </w:p>
    <w:p w14:paraId="17D09D33" w14:textId="788706BF" w:rsidR="00BC4CC9" w:rsidRPr="00273EAC" w:rsidRDefault="009E47CA" w:rsidP="00273EAC">
      <w:r>
        <w:t>For eye health programs, these findings suggest that</w:t>
      </w:r>
      <w:r w:rsidR="00374540">
        <w:t>,</w:t>
      </w:r>
      <w:r>
        <w:t xml:space="preserve"> </w:t>
      </w:r>
      <w:r w:rsidR="00374540">
        <w:t xml:space="preserve">if </w:t>
      </w:r>
      <w:r w:rsidR="00EB5756">
        <w:t xml:space="preserve">the WG </w:t>
      </w:r>
      <w:r w:rsidR="006D6228">
        <w:t xml:space="preserve">questions are </w:t>
      </w:r>
      <w:r w:rsidR="00374540">
        <w:t>used as an initial screening for eye health needs, they are likely t</w:t>
      </w:r>
      <w:r w:rsidR="00A4729D">
        <w:t xml:space="preserve">o miss a significant proportion of people with clinical vision impairment. </w:t>
      </w:r>
      <w:r w:rsidR="007411F8">
        <w:t xml:space="preserve">Using the </w:t>
      </w:r>
      <w:r w:rsidR="00EF64DC">
        <w:t>“some+ difficulty” cut-off</w:t>
      </w:r>
      <w:r w:rsidR="007411F8">
        <w:t xml:space="preserve">, with its higher sensitivity, would </w:t>
      </w:r>
      <w:r w:rsidR="00F129E9">
        <w:t xml:space="preserve">minimise the number of people missed by such screening. This may be appropriate </w:t>
      </w:r>
      <w:r w:rsidR="00E92919">
        <w:t xml:space="preserve">as a basis for </w:t>
      </w:r>
      <w:r w:rsidR="00703ECF">
        <w:t xml:space="preserve">making </w:t>
      </w:r>
      <w:r w:rsidR="00E92919">
        <w:t xml:space="preserve">eye health referrals </w:t>
      </w:r>
      <w:r w:rsidR="00B84743">
        <w:t xml:space="preserve">for people identified </w:t>
      </w:r>
      <w:r w:rsidR="00E92919">
        <w:t xml:space="preserve">in </w:t>
      </w:r>
      <w:r w:rsidR="00B84743">
        <w:t xml:space="preserve">programs </w:t>
      </w:r>
      <w:r w:rsidR="00703ECF">
        <w:t>that are already using the WG questions</w:t>
      </w:r>
      <w:r w:rsidR="0079626E">
        <w:t xml:space="preserve">, or for use within population studies </w:t>
      </w:r>
      <w:proofErr w:type="gramStart"/>
      <w:r w:rsidR="0079626E">
        <w:t>where</w:t>
      </w:r>
      <w:proofErr w:type="gramEnd"/>
      <w:r w:rsidR="0079626E">
        <w:t xml:space="preserve"> identifying 100% of people requiring </w:t>
      </w:r>
      <w:r w:rsidR="009E3A75">
        <w:t>interventions or services is not necessary</w:t>
      </w:r>
      <w:r w:rsidR="00B84743">
        <w:t xml:space="preserve">. </w:t>
      </w:r>
      <w:r w:rsidR="002E6A6C">
        <w:t>F</w:t>
      </w:r>
      <w:r w:rsidR="00B84743">
        <w:t xml:space="preserve">or eye </w:t>
      </w:r>
      <w:r w:rsidR="00B84743">
        <w:lastRenderedPageBreak/>
        <w:t xml:space="preserve">health programs, the </w:t>
      </w:r>
      <w:r w:rsidR="00627641">
        <w:t>need for clinical vision assessment at screening remains.</w:t>
      </w:r>
      <w:r w:rsidR="008E4940">
        <w:t xml:space="preserve"> The WG questions with “some+ difficulty” cut-off could however be used to </w:t>
      </w:r>
      <w:r w:rsidR="00272E66">
        <w:t xml:space="preserve">identify </w:t>
      </w:r>
      <w:r w:rsidR="008E4940">
        <w:t xml:space="preserve">eye health </w:t>
      </w:r>
      <w:r w:rsidR="00272E66">
        <w:t xml:space="preserve">service users potentially requiring referral to other </w:t>
      </w:r>
      <w:r w:rsidR="003C61FA">
        <w:t>disability</w:t>
      </w:r>
      <w:r w:rsidR="004D1675">
        <w:t>-related</w:t>
      </w:r>
      <w:r w:rsidR="003C61FA">
        <w:t xml:space="preserve"> </w:t>
      </w:r>
      <w:r w:rsidR="00272E66">
        <w:t>services.</w:t>
      </w:r>
      <w:r w:rsidR="00627641">
        <w:t xml:space="preserve"> </w:t>
      </w:r>
    </w:p>
    <w:p w14:paraId="68755F20" w14:textId="29C080D6" w:rsidR="009D255A" w:rsidRPr="000B07AD" w:rsidRDefault="00273EAC" w:rsidP="000B07AD">
      <w:pPr>
        <w:pStyle w:val="Heading4"/>
      </w:pPr>
      <w:r w:rsidRPr="000B07AD">
        <w:t>Bush, A 2017, Disability Inclusive Eye Health Review: A review of lessons learned from CBM’s experience implementing inclusive eye health programs in six countries from 2011 to 2017, CBM Australia</w:t>
      </w:r>
      <w:r w:rsidR="008C231D" w:rsidRPr="000B07AD">
        <w:t xml:space="preserve"> [unpublished report</w:t>
      </w:r>
      <w:r w:rsidR="003505D2" w:rsidRPr="000B07AD">
        <w:rPr>
          <w:rStyle w:val="EndnoteReference"/>
        </w:rPr>
        <w:endnoteReference w:id="24"/>
      </w:r>
      <w:r w:rsidR="003505D2" w:rsidRPr="000B07AD">
        <w:t>]</w:t>
      </w:r>
      <w:r w:rsidR="00C4150A" w:rsidRPr="000B07AD">
        <w:t>.</w:t>
      </w:r>
    </w:p>
    <w:p w14:paraId="21F7A887" w14:textId="1A4D840C" w:rsidR="00C4150A" w:rsidRPr="00273EAC" w:rsidRDefault="00DE0BBD" w:rsidP="00273EAC">
      <w:r>
        <w:t xml:space="preserve">This report presents findings from an internal </w:t>
      </w:r>
      <w:r w:rsidR="007E49BA">
        <w:t xml:space="preserve">learning </w:t>
      </w:r>
      <w:r w:rsidR="00DF6DB4">
        <w:t xml:space="preserve">review of </w:t>
      </w:r>
      <w:r w:rsidR="007E49BA">
        <w:t>six inclusive eye health projects delivered by CBM between 2011 and 2016</w:t>
      </w:r>
      <w:r w:rsidR="005358BA">
        <w:t xml:space="preserve">, </w:t>
      </w:r>
      <w:r w:rsidR="00840182">
        <w:t>including a specific focus on appraising approaches to disability-disaggregated data</w:t>
      </w:r>
      <w:r w:rsidR="007E49BA">
        <w:t xml:space="preserve">. </w:t>
      </w:r>
      <w:r w:rsidR="005D6B6E">
        <w:t xml:space="preserve">The projects reviewed </w:t>
      </w:r>
      <w:r w:rsidR="005D6B6E" w:rsidRPr="005D6B6E">
        <w:t xml:space="preserve">used data either from government and institution-based </w:t>
      </w:r>
      <w:r w:rsidR="005D6B6E">
        <w:t xml:space="preserve">HMISs </w:t>
      </w:r>
      <w:r w:rsidR="005D6B6E" w:rsidRPr="005D6B6E">
        <w:t xml:space="preserve">or from additionally introduced data collection tools. The main promoted tool was the </w:t>
      </w:r>
      <w:r w:rsidR="0000368B">
        <w:t>WG-SS</w:t>
      </w:r>
      <w:r w:rsidR="00A41AD1">
        <w:t xml:space="preserve">. </w:t>
      </w:r>
      <w:r w:rsidR="00EB69AE">
        <w:t>Relevant findings include</w:t>
      </w:r>
      <w:r w:rsidR="00C90745">
        <w:t xml:space="preserve"> that</w:t>
      </w:r>
      <w:r w:rsidR="00565D0E">
        <w:t xml:space="preserve">: data collection </w:t>
      </w:r>
      <w:r w:rsidR="00C90745">
        <w:t xml:space="preserve">was </w:t>
      </w:r>
      <w:r w:rsidR="00565D0E">
        <w:t>labour intensive</w:t>
      </w:r>
      <w:r w:rsidR="00C90745">
        <w:t>;</w:t>
      </w:r>
      <w:r w:rsidR="005E032E">
        <w:t xml:space="preserve"> additional training and budget was required;</w:t>
      </w:r>
      <w:r w:rsidR="00C90745">
        <w:t xml:space="preserve"> additionally-introduced data collection was perceived by project staff </w:t>
      </w:r>
      <w:r w:rsidR="006A32F1">
        <w:t xml:space="preserve">only </w:t>
      </w:r>
      <w:r w:rsidR="00C90745">
        <w:t xml:space="preserve">as a donor </w:t>
      </w:r>
      <w:r w:rsidR="006A32F1">
        <w:t xml:space="preserve">reporting requirement; disability data collection was most successful where integrated into </w:t>
      </w:r>
      <w:r w:rsidR="004F0435">
        <w:t xml:space="preserve">an </w:t>
      </w:r>
      <w:r w:rsidR="006A32F1">
        <w:t>HMIS</w:t>
      </w:r>
      <w:r w:rsidR="004F0435">
        <w:t xml:space="preserve"> and where a hospital had sufficient independence to adapt systems</w:t>
      </w:r>
      <w:r w:rsidR="00C2540E">
        <w:t>; disability</w:t>
      </w:r>
      <w:r w:rsidR="001E2B09">
        <w:t xml:space="preserve">-disaggregated HMIS data was sometimes incomplete, </w:t>
      </w:r>
      <w:r w:rsidR="00EB0830">
        <w:t xml:space="preserve">for example </w:t>
      </w:r>
      <w:r w:rsidR="000F51B3">
        <w:t>where it was collected only at one level in the healthcare system</w:t>
      </w:r>
      <w:r w:rsidR="00E1552E">
        <w:t xml:space="preserve">, or only at centre-based </w:t>
      </w:r>
      <w:r w:rsidR="00920566">
        <w:t>service delivery</w:t>
      </w:r>
      <w:r w:rsidR="00E1552E">
        <w:t xml:space="preserve">, or only </w:t>
      </w:r>
      <w:r w:rsidR="00EB7BBB">
        <w:t xml:space="preserve">for </w:t>
      </w:r>
      <w:r w:rsidR="00B56B95">
        <w:t>patients covered by public health insurance (Vietnam).</w:t>
      </w:r>
      <w:r w:rsidR="00632F61">
        <w:t xml:space="preserve"> The </w:t>
      </w:r>
      <w:r w:rsidR="00036A70">
        <w:t xml:space="preserve">report identifies the need for </w:t>
      </w:r>
      <w:r w:rsidR="001D1594">
        <w:t xml:space="preserve">contextually appropriate monitoring approaches, including use of </w:t>
      </w:r>
      <w:r w:rsidR="005C7685">
        <w:t xml:space="preserve">process indicators </w:t>
      </w:r>
      <w:r w:rsidR="001D1594">
        <w:t xml:space="preserve">linked to disability inclusion strategies </w:t>
      </w:r>
      <w:r w:rsidR="005F1C4B">
        <w:t xml:space="preserve">as a complement (or alternative) to </w:t>
      </w:r>
      <w:r w:rsidR="00C91810">
        <w:t xml:space="preserve">disability-disaggregated service data. It also identifies the need to collect data </w:t>
      </w:r>
      <w:r w:rsidR="00D05BA9">
        <w:t xml:space="preserve">on barriers to accessing eye health and on the impact of eye health interventions in relation to </w:t>
      </w:r>
      <w:r w:rsidR="005978B7">
        <w:t>persons’ quality of life.</w:t>
      </w:r>
      <w:r w:rsidR="007F7C4A">
        <w:t xml:space="preserve"> </w:t>
      </w:r>
      <w:r w:rsidR="000853CC">
        <w:t xml:space="preserve">Where HMISs are not collecting disability-disaggregated data, the report recommends </w:t>
      </w:r>
      <w:r w:rsidR="00B43CF7">
        <w:t xml:space="preserve">advocacy and capacity building for integration of the WG short set, </w:t>
      </w:r>
      <w:r w:rsidR="00EA70CA">
        <w:t>context-appropriate</w:t>
      </w:r>
      <w:r w:rsidR="00E30A6A">
        <w:t xml:space="preserve"> use of alternative </w:t>
      </w:r>
      <w:r w:rsidR="00EA70CA">
        <w:t>monitoring approaches and consider</w:t>
      </w:r>
      <w:r w:rsidR="00BF401A">
        <w:t>ation that collection of DDD may not be feasible or cost-effective in all contexts.</w:t>
      </w:r>
    </w:p>
    <w:p w14:paraId="071A6974" w14:textId="3E81FB95" w:rsidR="00273EAC" w:rsidRPr="000B07AD" w:rsidRDefault="00273EAC" w:rsidP="000B07AD">
      <w:pPr>
        <w:pStyle w:val="Heading4"/>
      </w:pPr>
      <w:bookmarkStart w:id="28" w:name="_Hlk130221050"/>
      <w:r w:rsidRPr="000B07AD">
        <w:t xml:space="preserve">Jolley, E, </w:t>
      </w:r>
      <w:proofErr w:type="spellStart"/>
      <w:r w:rsidRPr="000B07AD">
        <w:t>Buttan</w:t>
      </w:r>
      <w:proofErr w:type="spellEnd"/>
      <w:r w:rsidRPr="000B07AD">
        <w:t xml:space="preserve">, S, Engels, T, Gillani, M, </w:t>
      </w:r>
      <w:proofErr w:type="spellStart"/>
      <w:r w:rsidRPr="000B07AD">
        <w:t>Jadoon</w:t>
      </w:r>
      <w:proofErr w:type="spellEnd"/>
      <w:r w:rsidRPr="000B07AD">
        <w:t xml:space="preserve">, MZ, </w:t>
      </w:r>
      <w:proofErr w:type="spellStart"/>
      <w:r w:rsidRPr="000B07AD">
        <w:t>Kabona</w:t>
      </w:r>
      <w:proofErr w:type="spellEnd"/>
      <w:r w:rsidRPr="000B07AD">
        <w:t xml:space="preserve">, G, Mohanty, R n., Mohanty, S, </w:t>
      </w:r>
      <w:proofErr w:type="spellStart"/>
      <w:r w:rsidRPr="000B07AD">
        <w:t>Trotignon</w:t>
      </w:r>
      <w:proofErr w:type="spellEnd"/>
      <w:r w:rsidRPr="000B07AD">
        <w:t xml:space="preserve">, G, </w:t>
      </w:r>
      <w:proofErr w:type="spellStart"/>
      <w:r w:rsidRPr="000B07AD">
        <w:t>Woldeyes</w:t>
      </w:r>
      <w:proofErr w:type="spellEnd"/>
      <w:r w:rsidRPr="000B07AD">
        <w:t>, A &amp; Schmidt, E 2020, ‘</w:t>
      </w:r>
      <w:hyperlink r:id="rId16" w:history="1">
        <w:r w:rsidRPr="000B07AD">
          <w:rPr>
            <w:rStyle w:val="Hyperlink"/>
          </w:rPr>
          <w:t>Prevalence of Visual Impairment and Coverage of Cataract Surgical Services: Associations with Sex, Disability, and Economic Status in Five Diverse Sites</w:t>
        </w:r>
      </w:hyperlink>
      <w:r w:rsidRPr="000B07AD">
        <w:t xml:space="preserve">’, </w:t>
      </w:r>
      <w:r w:rsidRPr="000B07AD">
        <w:rPr>
          <w:i/>
        </w:rPr>
        <w:t>Ophthalmic Epidemiology</w:t>
      </w:r>
      <w:r w:rsidRPr="000B07AD">
        <w:t>, vol. 27, no. 6, pp. 429–437.</w:t>
      </w:r>
    </w:p>
    <w:bookmarkEnd w:id="28"/>
    <w:p w14:paraId="08016295" w14:textId="50CB9DDD" w:rsidR="000E3D86" w:rsidRDefault="003D1545" w:rsidP="00273EAC">
      <w:r>
        <w:t>This article presents findings from five RAAB surveys that also incorporated the WGSS</w:t>
      </w:r>
      <w:r w:rsidR="00B02F6C">
        <w:t xml:space="preserve"> in India, Pakistan and Tanzania</w:t>
      </w:r>
      <w:r>
        <w:t xml:space="preserve">. </w:t>
      </w:r>
      <w:r w:rsidR="0076007D">
        <w:t>Links between disability, vision impairment and cataract surgical coverage were analysed</w:t>
      </w:r>
      <w:r w:rsidR="00E5467A">
        <w:t>. WG</w:t>
      </w:r>
      <w:r w:rsidR="00110F1F">
        <w:t>-</w:t>
      </w:r>
      <w:r w:rsidR="00E5467A">
        <w:t>SS data was analysed using the “a lot+ difficulty” cut-off</w:t>
      </w:r>
      <w:r w:rsidR="009F467A">
        <w:t xml:space="preserve"> in at least one or more of the six domains</w:t>
      </w:r>
      <w:r w:rsidR="00922115">
        <w:t>. A</w:t>
      </w:r>
      <w:r w:rsidR="009F467A">
        <w:t xml:space="preserve">dditionally, </w:t>
      </w:r>
      <w:r w:rsidR="00645C44">
        <w:t xml:space="preserve">a “non-visual disability” variable was </w:t>
      </w:r>
      <w:r w:rsidR="00EE5F06">
        <w:t>created by excluding the vision-related WGSS domain from the analysis.</w:t>
      </w:r>
      <w:r w:rsidR="00922115">
        <w:t xml:space="preserve"> </w:t>
      </w:r>
      <w:r w:rsidR="0058758B">
        <w:t xml:space="preserve">Researchers found that, across four different sites, persons with </w:t>
      </w:r>
      <w:r w:rsidR="0098150E">
        <w:t xml:space="preserve">additional </w:t>
      </w:r>
      <w:r w:rsidR="0058758B">
        <w:t xml:space="preserve">non-visual disabilities </w:t>
      </w:r>
      <w:r w:rsidR="005179D6">
        <w:t xml:space="preserve">were 2-10 times more likely to </w:t>
      </w:r>
      <w:r w:rsidR="00C5053E">
        <w:t xml:space="preserve">experience blindness or severe visual impairment than persons without </w:t>
      </w:r>
      <w:r w:rsidR="0098150E">
        <w:t xml:space="preserve">additional </w:t>
      </w:r>
      <w:r w:rsidR="00C5053E">
        <w:t>non-visual disabilities.</w:t>
      </w:r>
      <w:r w:rsidR="0018743D">
        <w:t xml:space="preserve"> There were no significant differences in cataract</w:t>
      </w:r>
      <w:r w:rsidR="00522241">
        <w:t xml:space="preserve"> surgical coverage </w:t>
      </w:r>
      <w:r w:rsidR="00053DF7">
        <w:t>in three of the site</w:t>
      </w:r>
      <w:r w:rsidR="00B02F6C">
        <w:t>s</w:t>
      </w:r>
      <w:r w:rsidR="00053DF7">
        <w:t xml:space="preserve">, however in one site </w:t>
      </w:r>
      <w:r w:rsidR="000D0BC9">
        <w:t xml:space="preserve">coverage was significantly lower for </w:t>
      </w:r>
      <w:r w:rsidR="00053DF7">
        <w:t>persons with additional non-visual disabilities</w:t>
      </w:r>
      <w:r w:rsidR="000D0BC9">
        <w:t xml:space="preserve">. </w:t>
      </w:r>
    </w:p>
    <w:p w14:paraId="07F9AAA6" w14:textId="1D312976" w:rsidR="00E76A44" w:rsidRPr="00273EAC" w:rsidRDefault="000D0BC9" w:rsidP="00273EAC">
      <w:r>
        <w:t xml:space="preserve">The WGSS </w:t>
      </w:r>
      <w:r w:rsidR="00AE1613">
        <w:t xml:space="preserve">was found to </w:t>
      </w:r>
      <w:r w:rsidR="00B02F6C">
        <w:t xml:space="preserve">allow </w:t>
      </w:r>
      <w:r w:rsidR="00AE1613">
        <w:t xml:space="preserve">flexibility of analysis (in functional domains and cut-offs) and </w:t>
      </w:r>
      <w:r w:rsidR="00B02F6C">
        <w:t>to work across different cultures</w:t>
      </w:r>
      <w:r w:rsidR="000E3D86">
        <w:t>, reinforcing the suitability of this tool for use in the eye health sector</w:t>
      </w:r>
      <w:r w:rsidR="00B02F6C">
        <w:t>.</w:t>
      </w:r>
      <w:r w:rsidR="000E3D86">
        <w:t xml:space="preserve"> </w:t>
      </w:r>
      <w:r w:rsidR="00CD1624">
        <w:t xml:space="preserve">The finding that persons with non-visual disabilities experience higher incidence of </w:t>
      </w:r>
      <w:r w:rsidR="00E87AFB">
        <w:t xml:space="preserve">visual impairment is significant for the design of inclusive eye health programs and advocacy for inclusive </w:t>
      </w:r>
      <w:r w:rsidR="00EE5797">
        <w:t xml:space="preserve">eye health systems and policies. </w:t>
      </w:r>
      <w:r w:rsidR="00C5736D">
        <w:t xml:space="preserve">The significant differences </w:t>
      </w:r>
      <w:r w:rsidR="000E3D86">
        <w:t xml:space="preserve">in cataract surgical coverage for persons with </w:t>
      </w:r>
      <w:r w:rsidR="00C339E9">
        <w:t xml:space="preserve">non-visual disabilities </w:t>
      </w:r>
      <w:r w:rsidR="00C5736D">
        <w:t xml:space="preserve">across </w:t>
      </w:r>
      <w:r w:rsidR="00C339E9">
        <w:t xml:space="preserve">different </w:t>
      </w:r>
      <w:r w:rsidR="00C5736D">
        <w:t>sites suggests th</w:t>
      </w:r>
      <w:r w:rsidR="000E63AA">
        <w:t>e need for contextual data collection and analysis</w:t>
      </w:r>
      <w:r w:rsidR="00C339E9">
        <w:t>.</w:t>
      </w:r>
    </w:p>
    <w:p w14:paraId="1B4C4EB3" w14:textId="02105881" w:rsidR="00273EAC" w:rsidRPr="000B07AD" w:rsidRDefault="00273EAC" w:rsidP="000B07AD">
      <w:pPr>
        <w:pStyle w:val="Heading4"/>
      </w:pPr>
      <w:r w:rsidRPr="000B07AD">
        <w:lastRenderedPageBreak/>
        <w:t xml:space="preserve">Jolley, E, </w:t>
      </w:r>
      <w:proofErr w:type="spellStart"/>
      <w:r w:rsidRPr="000B07AD">
        <w:t>Thivillier</w:t>
      </w:r>
      <w:proofErr w:type="spellEnd"/>
      <w:r w:rsidRPr="000B07AD">
        <w:t xml:space="preserve">, P &amp; Smith, F 2014, </w:t>
      </w:r>
      <w:hyperlink r:id="rId17" w:history="1">
        <w:r w:rsidRPr="000B07AD">
          <w:rPr>
            <w:rStyle w:val="Hyperlink"/>
            <w:i/>
          </w:rPr>
          <w:t>Disability Disaggregation of Data - Baseline report</w:t>
        </w:r>
      </w:hyperlink>
      <w:r w:rsidRPr="000B07AD">
        <w:t xml:space="preserve">, </w:t>
      </w:r>
      <w:proofErr w:type="spellStart"/>
      <w:r w:rsidRPr="000B07AD">
        <w:t>SightSavers</w:t>
      </w:r>
      <w:proofErr w:type="spellEnd"/>
      <w:r w:rsidRPr="000B07AD">
        <w:t>, accessed from &lt;https://www.sightsavers.org/wp-content/uploads/2017/08/Sightsavers-Baseline-Report-Disability-Disaggregation-of-Data.pdf&gt;.</w:t>
      </w:r>
    </w:p>
    <w:p w14:paraId="48200F06" w14:textId="0D6B3BA3" w:rsidR="00C339E9" w:rsidRPr="00273EAC" w:rsidRDefault="00053194" w:rsidP="00273EAC">
      <w:r>
        <w:t xml:space="preserve">This report presents findings from </w:t>
      </w:r>
      <w:r w:rsidR="00114EC7">
        <w:t xml:space="preserve">initial steps to set up disaggregation of data by disability in two of </w:t>
      </w:r>
      <w:proofErr w:type="spellStart"/>
      <w:r w:rsidR="00114EC7">
        <w:t>SightSavers</w:t>
      </w:r>
      <w:proofErr w:type="spellEnd"/>
      <w:r w:rsidR="00114EC7">
        <w:t>’ projects</w:t>
      </w:r>
      <w:r w:rsidR="00A05D00">
        <w:t>:</w:t>
      </w:r>
      <w:r w:rsidR="00114EC7">
        <w:t xml:space="preserve"> </w:t>
      </w:r>
      <w:r w:rsidR="00A05D00">
        <w:t xml:space="preserve">an eye health project </w:t>
      </w:r>
      <w:r w:rsidR="00114EC7">
        <w:t xml:space="preserve">in India and </w:t>
      </w:r>
      <w:r w:rsidR="00A05D00">
        <w:t xml:space="preserve">a NTD project in </w:t>
      </w:r>
      <w:r w:rsidR="00114EC7">
        <w:t>Tanzania.</w:t>
      </w:r>
      <w:r w:rsidR="00CA6209">
        <w:t xml:space="preserve"> Findings were based on interviews with project staff and other stakeholders.</w:t>
      </w:r>
      <w:r w:rsidR="00BB1EBD">
        <w:t xml:space="preserve"> Relevant findings included</w:t>
      </w:r>
      <w:r w:rsidR="00BE1F66">
        <w:t xml:space="preserve"> that</w:t>
      </w:r>
      <w:r w:rsidR="00E17FED">
        <w:t>:</w:t>
      </w:r>
      <w:r w:rsidR="00BE1F66">
        <w:t xml:space="preserve"> data from WG questions may not align to data from population census or </w:t>
      </w:r>
      <w:r w:rsidR="00C5372D">
        <w:t xml:space="preserve">administrative disability determinations, and hence </w:t>
      </w:r>
      <w:r w:rsidR="00E17FED">
        <w:t xml:space="preserve">advocacy with government is needed; </w:t>
      </w:r>
      <w:r w:rsidR="00920385">
        <w:t>that disability data should b</w:t>
      </w:r>
      <w:r w:rsidR="005D4822">
        <w:t xml:space="preserve">e included in HMIS and data collection tools; </w:t>
      </w:r>
      <w:r w:rsidR="0075388F">
        <w:t xml:space="preserve">that use of WG questions was effective at sensitising </w:t>
      </w:r>
      <w:r w:rsidR="00693326">
        <w:t>partner staff on disability</w:t>
      </w:r>
      <w:r w:rsidR="001F2F1C">
        <w:t>; that integrating WG questions within electronic HMIS is relatively straightforward</w:t>
      </w:r>
      <w:r w:rsidR="001F22ED">
        <w:t xml:space="preserve">, while </w:t>
      </w:r>
      <w:r w:rsidR="00C85485">
        <w:t>doing so on a paper-based system is more complicated due to the format and printing costs</w:t>
      </w:r>
      <w:r w:rsidR="00D46E1D">
        <w:t xml:space="preserve">; and that </w:t>
      </w:r>
      <w:r w:rsidR="003A7BF9">
        <w:t>administration of the WGSS questions in an outpatient department took only a few minutes</w:t>
      </w:r>
      <w:r w:rsidR="00C85485">
        <w:t>.</w:t>
      </w:r>
      <w:r w:rsidR="006F3E00">
        <w:t xml:space="preserve"> </w:t>
      </w:r>
      <w:proofErr w:type="spellStart"/>
      <w:r w:rsidR="006F3E00">
        <w:t>SightSavers</w:t>
      </w:r>
      <w:proofErr w:type="spellEnd"/>
      <w:r w:rsidR="006F3E00">
        <w:t xml:space="preserve"> has gone on to further articulate the approach explored in this report</w:t>
      </w:r>
      <w:r w:rsidR="005B1808">
        <w:t xml:space="preserve">; however, the findings remain relevant and appear to have been confirmed by subsequent experience. </w:t>
      </w:r>
    </w:p>
    <w:p w14:paraId="5973EE69" w14:textId="474334A9" w:rsidR="00273EAC" w:rsidRPr="000B07AD" w:rsidRDefault="00273EAC" w:rsidP="000B07AD">
      <w:pPr>
        <w:pStyle w:val="Heading4"/>
      </w:pPr>
      <w:r w:rsidRPr="000B07AD">
        <w:t xml:space="preserve">McCormick, I, Mactaggart, I, Resnikoff, S, Muirhead, D, Murthy, G, Silva, JC, </w:t>
      </w:r>
      <w:proofErr w:type="spellStart"/>
      <w:r w:rsidRPr="000B07AD">
        <w:t>Bastawrous</w:t>
      </w:r>
      <w:proofErr w:type="spellEnd"/>
      <w:r w:rsidRPr="000B07AD">
        <w:t xml:space="preserve">, A, Stern, J, Blanchet, K, Wang, N, Yusufu, M, Cooper, A, </w:t>
      </w:r>
      <w:proofErr w:type="spellStart"/>
      <w:r w:rsidRPr="000B07AD">
        <w:t>Gichangi</w:t>
      </w:r>
      <w:proofErr w:type="spellEnd"/>
      <w:r w:rsidRPr="000B07AD">
        <w:t xml:space="preserve">, M, Eye Health Indicators Prioritisation Project Group, Burton, MJ &amp; </w:t>
      </w:r>
      <w:proofErr w:type="spellStart"/>
      <w:r w:rsidRPr="000B07AD">
        <w:t>Ramke</w:t>
      </w:r>
      <w:proofErr w:type="spellEnd"/>
      <w:r w:rsidRPr="000B07AD">
        <w:t>, J 2022, ‘</w:t>
      </w:r>
      <w:hyperlink r:id="rId18" w:history="1">
        <w:r w:rsidRPr="000B07AD">
          <w:rPr>
            <w:rStyle w:val="Hyperlink"/>
          </w:rPr>
          <w:t>Eye health indicators for universal health coverage: results of a global expert prioritisation process</w:t>
        </w:r>
      </w:hyperlink>
      <w:r w:rsidRPr="000B07AD">
        <w:t xml:space="preserve">’, </w:t>
      </w:r>
      <w:r w:rsidRPr="000B07AD">
        <w:rPr>
          <w:i/>
        </w:rPr>
        <w:t>British Journal of Ophthalmology</w:t>
      </w:r>
      <w:r w:rsidRPr="000B07AD">
        <w:t>, vol. 106, no. 7, pp. 893–901.</w:t>
      </w:r>
    </w:p>
    <w:p w14:paraId="1E202641" w14:textId="77777777" w:rsidR="00583D34" w:rsidRDefault="00D04151" w:rsidP="00273EAC">
      <w:r>
        <w:t>The paper presents and discusses a set of 22 proposed global eye health indicators</w:t>
      </w:r>
      <w:r w:rsidR="0066053E">
        <w:t xml:space="preserve"> </w:t>
      </w:r>
      <w:r w:rsidR="00A947F3">
        <w:t xml:space="preserve">(including </w:t>
      </w:r>
      <w:r w:rsidR="000D2DD2">
        <w:t>seven</w:t>
      </w:r>
      <w:r w:rsidR="00A947F3">
        <w:t xml:space="preserve"> core indicators) </w:t>
      </w:r>
      <w:r w:rsidR="0066053E">
        <w:t>that are aligned to the framework of WHO’s World Report on Vision</w:t>
      </w:r>
      <w:r w:rsidR="00CB2BA3">
        <w:t xml:space="preserve">. The indicator set was developed through a literature review and inputs from 72 </w:t>
      </w:r>
      <w:r w:rsidR="00D0725A">
        <w:t>global eye health experts. The set includes an ‘equity statement’ that a</w:t>
      </w:r>
      <w:r w:rsidR="00D0725A" w:rsidRPr="00D0725A">
        <w:t>ll indicators summarising population-based and eye care facility-based data should report metrics disaggregated by disability status, where available.</w:t>
      </w:r>
      <w:r w:rsidR="00326281">
        <w:t xml:space="preserve"> </w:t>
      </w:r>
      <w:r w:rsidR="00257D83">
        <w:t>The core indicator on vision impairment prevalence specifies disaggregation by key equity measures (</w:t>
      </w:r>
      <w:r w:rsidR="00583D34">
        <w:t xml:space="preserve">defined to include disability). </w:t>
      </w:r>
    </w:p>
    <w:p w14:paraId="33AE44C4" w14:textId="7DD7A252" w:rsidR="005B1808" w:rsidRDefault="00583D34" w:rsidP="00273EAC">
      <w:r>
        <w:t xml:space="preserve">While this </w:t>
      </w:r>
      <w:r w:rsidR="00276BA3">
        <w:t xml:space="preserve">indicator set has not yet been adopted, </w:t>
      </w:r>
      <w:r w:rsidR="00AC345C">
        <w:t xml:space="preserve">the inclusion of a statement on disability disaggregation suggests growing </w:t>
      </w:r>
      <w:r w:rsidR="00181427">
        <w:t xml:space="preserve">expert </w:t>
      </w:r>
      <w:r w:rsidR="00AC345C">
        <w:t xml:space="preserve">consensus </w:t>
      </w:r>
      <w:r w:rsidR="00181427">
        <w:t>on its importance</w:t>
      </w:r>
      <w:r w:rsidR="00AC345C">
        <w:t xml:space="preserve">. </w:t>
      </w:r>
      <w:r w:rsidR="00453C6F">
        <w:t xml:space="preserve">This would </w:t>
      </w:r>
      <w:r w:rsidR="00611A2E">
        <w:t>mark</w:t>
      </w:r>
      <w:r w:rsidR="00453C6F">
        <w:t xml:space="preserve"> a shift from previous global frameworks such as WHO’s Universal Eye Health Global Action Plan 2014-19, wherein only sex and age disaggregation </w:t>
      </w:r>
      <w:r w:rsidR="00611A2E">
        <w:t>were specified.</w:t>
      </w:r>
    </w:p>
    <w:p w14:paraId="4F8E13A0" w14:textId="547B1A53" w:rsidR="00273EAC" w:rsidRDefault="00273EAC" w:rsidP="00611A2E">
      <w:pPr>
        <w:pStyle w:val="Heading4"/>
      </w:pPr>
      <w:r w:rsidRPr="00273EAC">
        <w:t xml:space="preserve">Mohanty, S, Jolley, E, Mohanty, R, </w:t>
      </w:r>
      <w:proofErr w:type="spellStart"/>
      <w:r w:rsidRPr="00273EAC">
        <w:t>Buttan</w:t>
      </w:r>
      <w:proofErr w:type="spellEnd"/>
      <w:r w:rsidRPr="00273EAC">
        <w:t>, S &amp; Schmidt, E 2019, ‘</w:t>
      </w:r>
      <w:hyperlink r:id="rId19" w:history="1">
        <w:r w:rsidRPr="00273EAC">
          <w:rPr>
            <w:rStyle w:val="Hyperlink"/>
          </w:rPr>
          <w:t xml:space="preserve">Integrating Geospatial Data and Measures of Disability and Wealth to Assess Inequalities in an Eye Health Survey: An Example from the Indian </w:t>
        </w:r>
        <w:proofErr w:type="spellStart"/>
        <w:r w:rsidRPr="00273EAC">
          <w:rPr>
            <w:rStyle w:val="Hyperlink"/>
          </w:rPr>
          <w:t>Sunderbans</w:t>
        </w:r>
        <w:proofErr w:type="spellEnd"/>
      </w:hyperlink>
      <w:r w:rsidRPr="00273EAC">
        <w:t xml:space="preserve">’, </w:t>
      </w:r>
      <w:r w:rsidRPr="00273EAC">
        <w:rPr>
          <w:i/>
        </w:rPr>
        <w:t>International Journal of Environmental Research and Public Health</w:t>
      </w:r>
      <w:r w:rsidRPr="00273EAC">
        <w:t>, vol. 16, no. 23, p. 4869.</w:t>
      </w:r>
    </w:p>
    <w:p w14:paraId="11ADC9C8" w14:textId="2D1E6D9D" w:rsidR="00611A2E" w:rsidRDefault="0028322C" w:rsidP="00273EAC">
      <w:r>
        <w:t xml:space="preserve">This paper reports findings from a </w:t>
      </w:r>
      <w:r w:rsidRPr="0028322C">
        <w:t>population-based survey of visual impairment and coverage of cataract and spectacle services</w:t>
      </w:r>
      <w:r w:rsidR="00980950">
        <w:t xml:space="preserve">, which </w:t>
      </w:r>
      <w:r w:rsidR="008D0F9A">
        <w:t xml:space="preserve">was disaggregated by disability using the </w:t>
      </w:r>
      <w:r w:rsidR="00980950">
        <w:t>WG-SS.</w:t>
      </w:r>
      <w:r w:rsidR="008D0F9A">
        <w:t xml:space="preserve"> WG-SS data was analysed using the “a lot+ difficulty” cut-off in at least one or more of the six domains. Additionally, a “non-visual disability” variable was created by excluding the vision-related WGSS domain from the analysis.</w:t>
      </w:r>
      <w:r w:rsidR="00A56CDB">
        <w:t xml:space="preserve"> </w:t>
      </w:r>
      <w:r w:rsidR="00A56CDB" w:rsidRPr="00A56CDB">
        <w:t xml:space="preserve">The </w:t>
      </w:r>
      <w:r w:rsidR="00A56CDB">
        <w:t>study found</w:t>
      </w:r>
      <w:r w:rsidR="00235641">
        <w:t xml:space="preserve"> that</w:t>
      </w:r>
      <w:r w:rsidR="00A56CDB" w:rsidRPr="00A56CDB">
        <w:t xml:space="preserve"> the prevalence of blindness among </w:t>
      </w:r>
      <w:r w:rsidR="00235641">
        <w:t xml:space="preserve">persons </w:t>
      </w:r>
      <w:r w:rsidR="00A56CDB" w:rsidRPr="00A56CDB">
        <w:t xml:space="preserve">with non-visual disabilities was 4.5% compared to 0.3% among </w:t>
      </w:r>
      <w:r w:rsidR="00235641">
        <w:t xml:space="preserve">persons </w:t>
      </w:r>
      <w:r w:rsidR="00A56CDB" w:rsidRPr="00A56CDB">
        <w:t xml:space="preserve">without non-visual disability. Similarly, the prevalence of severe and moderate visual impairment was 9.2% and 21.1% </w:t>
      </w:r>
      <w:r w:rsidR="00235641">
        <w:t xml:space="preserve">among persons with non-visual disabilities </w:t>
      </w:r>
      <w:r w:rsidR="00A56CDB" w:rsidRPr="00A56CDB">
        <w:t>compared to 2.3% and 7.2% among people without non-visual disabilities.</w:t>
      </w:r>
      <w:r w:rsidR="002D25C3">
        <w:t xml:space="preserve"> It </w:t>
      </w:r>
      <w:r w:rsidR="002D25C3">
        <w:lastRenderedPageBreak/>
        <w:t>also found signi</w:t>
      </w:r>
      <w:r w:rsidR="00016385">
        <w:t xml:space="preserve">ficantly lower CSC among persons with non-visual disabilities </w:t>
      </w:r>
      <w:r w:rsidR="006033F2">
        <w:t xml:space="preserve">than those without non-visual disabilities. </w:t>
      </w:r>
      <w:r w:rsidR="00DE19E8">
        <w:t xml:space="preserve">Given these differences, the authors recommend targeted approaches to find persons with additional non-visual difficulties </w:t>
      </w:r>
      <w:r w:rsidR="009F11FB">
        <w:t>and address the barriers they face</w:t>
      </w:r>
      <w:r w:rsidR="00535C59">
        <w:t>, including through engagement of local disability groups</w:t>
      </w:r>
      <w:r w:rsidR="009F11FB">
        <w:t xml:space="preserve">. </w:t>
      </w:r>
    </w:p>
    <w:p w14:paraId="035FEF03" w14:textId="21E56787" w:rsidR="00535C59" w:rsidRPr="00273EAC" w:rsidRDefault="00410546" w:rsidP="00273EAC">
      <w:r>
        <w:t xml:space="preserve">This study </w:t>
      </w:r>
      <w:r w:rsidR="003E5C24">
        <w:t xml:space="preserve">suggests </w:t>
      </w:r>
      <w:r>
        <w:t xml:space="preserve">the </w:t>
      </w:r>
      <w:r w:rsidR="00F5313E">
        <w:t xml:space="preserve">WG-SS </w:t>
      </w:r>
      <w:r w:rsidR="003E5C24">
        <w:t xml:space="preserve">can be usefully and validly applied to identify </w:t>
      </w:r>
      <w:r w:rsidR="00884C42">
        <w:t xml:space="preserve">eye health access gaps for persons with additional non-visual disabilities (in addition to VI). </w:t>
      </w:r>
      <w:r w:rsidR="00AC752D">
        <w:t>The</w:t>
      </w:r>
      <w:r w:rsidR="00012FA5">
        <w:t xml:space="preserve"> authors suggest that the</w:t>
      </w:r>
      <w:r w:rsidR="00AC752D">
        <w:t xml:space="preserve"> significant differences in VI and CSC here </w:t>
      </w:r>
      <w:r w:rsidR="00012FA5">
        <w:t xml:space="preserve">could be due the interaction of disability with significant geographical barriers in the study location. This </w:t>
      </w:r>
      <w:r w:rsidR="0010225B">
        <w:t>point</w:t>
      </w:r>
      <w:r w:rsidR="00012FA5">
        <w:t>s</w:t>
      </w:r>
      <w:r w:rsidR="0010225B">
        <w:t xml:space="preserve"> to the importance of </w:t>
      </w:r>
      <w:r w:rsidR="00D11A6A">
        <w:t xml:space="preserve">collecting </w:t>
      </w:r>
      <w:r w:rsidR="0010225B">
        <w:t xml:space="preserve">disability disaggregated population data </w:t>
      </w:r>
      <w:r w:rsidR="00012FA5">
        <w:t xml:space="preserve">to inform </w:t>
      </w:r>
      <w:r w:rsidR="00CC1E96">
        <w:t xml:space="preserve">service design </w:t>
      </w:r>
      <w:r w:rsidR="00D11A6A">
        <w:t>in different contexts.</w:t>
      </w:r>
      <w:r w:rsidR="00A82603">
        <w:t xml:space="preserve"> </w:t>
      </w:r>
    </w:p>
    <w:p w14:paraId="1893C708" w14:textId="78C172C4" w:rsidR="00273EAC" w:rsidRDefault="00273EAC" w:rsidP="000B07AD">
      <w:pPr>
        <w:pStyle w:val="Heading4"/>
      </w:pPr>
      <w:r w:rsidRPr="00273EAC">
        <w:t>Mörchen, M, Bonn, TS &amp; Lewis, D 2018, ‘</w:t>
      </w:r>
      <w:hyperlink r:id="rId20" w:history="1">
        <w:r w:rsidRPr="00273EAC">
          <w:rPr>
            <w:rStyle w:val="Hyperlink"/>
          </w:rPr>
          <w:t>Towards Universal Eye Health: Hospital-based disability-disaggregated data collection in Takeo province, Cambodia</w:t>
        </w:r>
      </w:hyperlink>
      <w:r w:rsidRPr="00273EAC">
        <w:t xml:space="preserve">’, </w:t>
      </w:r>
      <w:r w:rsidRPr="00273EAC">
        <w:rPr>
          <w:i/>
        </w:rPr>
        <w:t>Disability and Health Journal</w:t>
      </w:r>
      <w:r w:rsidRPr="00273EAC">
        <w:t>, vol. 11, no. 4, pp. 660–664.</w:t>
      </w:r>
    </w:p>
    <w:p w14:paraId="305CC968" w14:textId="095AB7F7" w:rsidR="00CC1E96" w:rsidRDefault="006221C3" w:rsidP="00CC1E96">
      <w:r>
        <w:t>This paper reports on the collection of DDD through the HMIS at a non-government eye hospital in Cambodia</w:t>
      </w:r>
      <w:r w:rsidR="00EE584D">
        <w:t xml:space="preserve"> from 2011-16. </w:t>
      </w:r>
      <w:r w:rsidR="000123DF">
        <w:t>Data was disaggregated using only 3 of the WG-SS</w:t>
      </w:r>
      <w:r w:rsidR="00065B8D">
        <w:t xml:space="preserve"> questions: those relating to hearing, moving and communicating</w:t>
      </w:r>
      <w:r w:rsidR="00B80848">
        <w:t xml:space="preserve">; the question on </w:t>
      </w:r>
      <w:r w:rsidR="009A6580">
        <w:t xml:space="preserve">vision difficulties was excluded as all patients were assessed for visual </w:t>
      </w:r>
      <w:r w:rsidR="00CC43A8">
        <w:t xml:space="preserve">impairments, and the questions relating to self-care and remembering/concentrating were deemed </w:t>
      </w:r>
      <w:r w:rsidR="00CD59D1">
        <w:t xml:space="preserve">to be culturally insensitive to be routinely asked in a hospital setting. </w:t>
      </w:r>
      <w:r w:rsidR="0099152F">
        <w:t xml:space="preserve">In addition, </w:t>
      </w:r>
      <w:r w:rsidR="007F01FB">
        <w:t>to save time, questions were asked with a binary yes/no response option only.</w:t>
      </w:r>
      <w:r w:rsidR="0099152F">
        <w:t xml:space="preserve"> </w:t>
      </w:r>
      <w:r w:rsidR="00CD59D1">
        <w:t xml:space="preserve">Questions were administered </w:t>
      </w:r>
      <w:r w:rsidR="005C3E4A">
        <w:t>during registration and data entered immediately into the HMIS.</w:t>
      </w:r>
      <w:r w:rsidR="003100FB">
        <w:t xml:space="preserve"> Persons with </w:t>
      </w:r>
      <w:r w:rsidR="00071D81">
        <w:t xml:space="preserve">additional (non-visual) </w:t>
      </w:r>
      <w:r w:rsidR="00D85408">
        <w:t xml:space="preserve">difficulties thus identified were found to comprise 2.7% of </w:t>
      </w:r>
      <w:r w:rsidR="00071D81">
        <w:t>all hospital patients.</w:t>
      </w:r>
      <w:r w:rsidR="00423A64">
        <w:t xml:space="preserve"> </w:t>
      </w:r>
      <w:r w:rsidR="00FD4191">
        <w:t>Referrals to CBR services were made to 0.36% of patients.</w:t>
      </w:r>
    </w:p>
    <w:p w14:paraId="78502DEF" w14:textId="736FA643" w:rsidR="007A3409" w:rsidRDefault="007A3409" w:rsidP="00CC1E96">
      <w:r>
        <w:t>Although the authors note that modification of the WG</w:t>
      </w:r>
      <w:r w:rsidR="0057737A">
        <w:t xml:space="preserve"> questions is not recommended, it was deemed necessary in this project </w:t>
      </w:r>
      <w:proofErr w:type="gramStart"/>
      <w:r w:rsidR="0057737A">
        <w:t>in order to</w:t>
      </w:r>
      <w:proofErr w:type="gramEnd"/>
      <w:r w:rsidR="0057737A">
        <w:t xml:space="preserve"> make data disaggregation feasible without </w:t>
      </w:r>
      <w:r w:rsidR="004E2530">
        <w:t xml:space="preserve">overburdening staff or requiring additional resourcing. The modifications were </w:t>
      </w:r>
      <w:r w:rsidR="00DA079E">
        <w:t xml:space="preserve">seen as a pragmatic approach to making some form of disability data collection feasible and sustainable within the hospital. </w:t>
      </w:r>
      <w:r w:rsidR="006F1923">
        <w:t xml:space="preserve">Despite simplifications, </w:t>
      </w:r>
      <w:r w:rsidR="004B5183">
        <w:t xml:space="preserve">the authors note that the questions may not have been asked </w:t>
      </w:r>
      <w:r w:rsidR="002C016B">
        <w:t xml:space="preserve">consistently. </w:t>
      </w:r>
      <w:r w:rsidR="004C6EDB">
        <w:t xml:space="preserve">They also note that the binary response options may result in underreporting. </w:t>
      </w:r>
    </w:p>
    <w:p w14:paraId="1D4A4DC1" w14:textId="27954722" w:rsidR="00251518" w:rsidRDefault="00FC43DD" w:rsidP="00CC1E96">
      <w:r>
        <w:t>Overall, this report highlights the practical challenges of collecting DDD in hospitals and the need for pragmatic</w:t>
      </w:r>
      <w:r w:rsidR="008F51C0">
        <w:t xml:space="preserve"> and sustainable solutions. </w:t>
      </w:r>
      <w:proofErr w:type="gramStart"/>
      <w:r w:rsidR="008F51C0">
        <w:t>However</w:t>
      </w:r>
      <w:proofErr w:type="gramEnd"/>
      <w:r w:rsidR="008F51C0">
        <w:t xml:space="preserve"> the non-standard usage of the WGSS also means that </w:t>
      </w:r>
      <w:r w:rsidR="00A860A6">
        <w:t xml:space="preserve">comparisons to disability disaggregated </w:t>
      </w:r>
      <w:r w:rsidR="00FC7A35">
        <w:t xml:space="preserve">catchment </w:t>
      </w:r>
      <w:r w:rsidR="00A860A6">
        <w:t xml:space="preserve">population data are not possible, and hence the </w:t>
      </w:r>
      <w:r w:rsidR="00597DB4">
        <w:t xml:space="preserve">data collected are not able to answer questions about eye health access and coverage for persons with disabilities. </w:t>
      </w:r>
    </w:p>
    <w:p w14:paraId="5E6C4C34" w14:textId="0C6479C9" w:rsidR="00273EAC" w:rsidRDefault="00273EAC" w:rsidP="000B07AD">
      <w:pPr>
        <w:pStyle w:val="Heading4"/>
      </w:pPr>
      <w:r w:rsidRPr="00273EAC">
        <w:t xml:space="preserve">Mörchen, M, Zambrano, O, Páez, A, Salgado, P, </w:t>
      </w:r>
      <w:proofErr w:type="spellStart"/>
      <w:r w:rsidRPr="00273EAC">
        <w:t>Penniecook</w:t>
      </w:r>
      <w:proofErr w:type="spellEnd"/>
      <w:r w:rsidRPr="00273EAC">
        <w:t>, J, Brandt von Lindau, A &amp; Lewis, D 2019, ‘</w:t>
      </w:r>
      <w:hyperlink r:id="rId21" w:history="1">
        <w:r w:rsidRPr="00273EAC">
          <w:rPr>
            <w:rStyle w:val="Hyperlink"/>
          </w:rPr>
          <w:t>Disability-Disaggregated Data Collection: Hospital-Based Application of the Washington Group Questions in an Eye Hospital in Paraguay</w:t>
        </w:r>
      </w:hyperlink>
      <w:r w:rsidRPr="00273EAC">
        <w:t xml:space="preserve">’, </w:t>
      </w:r>
      <w:r w:rsidRPr="00273EAC">
        <w:rPr>
          <w:i/>
        </w:rPr>
        <w:t>International Journal of Environmental Research and Public Health</w:t>
      </w:r>
      <w:r w:rsidRPr="00273EAC">
        <w:t>, vol. 16, no. 17, p. 3085.</w:t>
      </w:r>
    </w:p>
    <w:p w14:paraId="5598C810" w14:textId="77777777" w:rsidR="00B0754E" w:rsidRDefault="00AF233D" w:rsidP="00FC7B28">
      <w:r>
        <w:t xml:space="preserve">This paper reports </w:t>
      </w:r>
      <w:r w:rsidR="005E4964">
        <w:t>on a pilot project to collect disability-disaggregated patient data from a rural eye hospital in Paraguay, using</w:t>
      </w:r>
      <w:r w:rsidR="004947C3">
        <w:t xml:space="preserve"> the WG-SS as well as an extended version of the WQ questions </w:t>
      </w:r>
      <w:r w:rsidR="002E0F87">
        <w:t xml:space="preserve">including additional domains of anxiety and depression. </w:t>
      </w:r>
      <w:r w:rsidR="00863BE0">
        <w:t xml:space="preserve">Using </w:t>
      </w:r>
      <w:r w:rsidR="006F1A19">
        <w:t xml:space="preserve">the recommended cut-off of “a lot+ difficulty”, WG-SS data </w:t>
      </w:r>
      <w:r w:rsidR="008D77E8">
        <w:t xml:space="preserve">found that </w:t>
      </w:r>
      <w:r w:rsidR="003C2351">
        <w:t xml:space="preserve">16.4% of </w:t>
      </w:r>
      <w:r w:rsidR="0032785D">
        <w:t xml:space="preserve">eye hospital patients </w:t>
      </w:r>
      <w:r w:rsidR="003C2351">
        <w:t xml:space="preserve">had visual difficulties, followed in order of prevalence by </w:t>
      </w:r>
      <w:r w:rsidR="00770CE4">
        <w:t>communication (9.6%), remembering/concentrating (5.9%)</w:t>
      </w:r>
      <w:r w:rsidR="0093772E">
        <w:t>, moving (3.8%), hearing (3.5%) and self-care (</w:t>
      </w:r>
      <w:r w:rsidR="00AA5677">
        <w:t>1.9%).</w:t>
      </w:r>
      <w:r w:rsidR="00877D83">
        <w:t xml:space="preserve"> </w:t>
      </w:r>
      <w:r w:rsidR="007F1F17">
        <w:t>Analysis of d</w:t>
      </w:r>
      <w:r w:rsidR="00877D83">
        <w:t xml:space="preserve">ata from the extended WG questions </w:t>
      </w:r>
      <w:r w:rsidR="007F1F17">
        <w:t xml:space="preserve">identified </w:t>
      </w:r>
      <w:r w:rsidR="006412FE">
        <w:t xml:space="preserve">3.6% of patients in </w:t>
      </w:r>
      <w:r w:rsidR="006412FE">
        <w:lastRenderedPageBreak/>
        <w:t>the anxiety domain and 1.4% in the depression domain</w:t>
      </w:r>
      <w:r w:rsidR="00FC7A35">
        <w:t xml:space="preserve">, however </w:t>
      </w:r>
      <w:r w:rsidR="00B473A6">
        <w:t>with noted measurement errors</w:t>
      </w:r>
      <w:r w:rsidR="006412FE">
        <w:t>.</w:t>
      </w:r>
      <w:r w:rsidR="00FC7A35">
        <w:t xml:space="preserve"> </w:t>
      </w:r>
    </w:p>
    <w:p w14:paraId="008E5983" w14:textId="43E2EA8D" w:rsidR="00735418" w:rsidRDefault="00FC7A35" w:rsidP="00FC7B28">
      <w:r>
        <w:t xml:space="preserve">The authors report that identification of significant numbers </w:t>
      </w:r>
      <w:r w:rsidR="00B473A6">
        <w:t>of persons with functional difficulties other than vision provide</w:t>
      </w:r>
      <w:r w:rsidR="00FB587F">
        <w:t>d</w:t>
      </w:r>
      <w:r w:rsidR="00B473A6">
        <w:t xml:space="preserve"> a basis for </w:t>
      </w:r>
      <w:r w:rsidR="000D01BF">
        <w:t>identifying actions required to remove barriers to accessing eye care.</w:t>
      </w:r>
      <w:r w:rsidR="00B7765F">
        <w:t xml:space="preserve"> </w:t>
      </w:r>
      <w:r w:rsidR="00551053">
        <w:t xml:space="preserve">This conclusion does not seem borne out by the data. </w:t>
      </w:r>
      <w:r w:rsidR="006331CA">
        <w:t xml:space="preserve">While it may be the case </w:t>
      </w:r>
      <w:r w:rsidR="00013EB4">
        <w:t xml:space="preserve">that </w:t>
      </w:r>
      <w:r w:rsidR="006331CA">
        <w:t xml:space="preserve">this data </w:t>
      </w:r>
      <w:r w:rsidR="00013EB4">
        <w:t>support</w:t>
      </w:r>
      <w:r w:rsidR="006331CA">
        <w:t>ed</w:t>
      </w:r>
      <w:r w:rsidR="00013EB4">
        <w:t xml:space="preserve"> advocacy </w:t>
      </w:r>
      <w:r w:rsidR="006331CA">
        <w:t xml:space="preserve">or </w:t>
      </w:r>
      <w:r w:rsidR="00AF5A61">
        <w:t xml:space="preserve">provided </w:t>
      </w:r>
      <w:r w:rsidR="006331CA">
        <w:t xml:space="preserve">a mandate for </w:t>
      </w:r>
      <w:proofErr w:type="gramStart"/>
      <w:r w:rsidR="00AF5A61">
        <w:t>taking action</w:t>
      </w:r>
      <w:proofErr w:type="gramEnd"/>
      <w:r w:rsidR="00AF5A61">
        <w:t xml:space="preserve"> on disability inclusion</w:t>
      </w:r>
      <w:r w:rsidR="006331CA">
        <w:t xml:space="preserve">, </w:t>
      </w:r>
      <w:r w:rsidR="00495B5A">
        <w:t xml:space="preserve">the data </w:t>
      </w:r>
      <w:r w:rsidR="006331CA">
        <w:t>do</w:t>
      </w:r>
      <w:r w:rsidR="00495B5A">
        <w:t>es</w:t>
      </w:r>
      <w:r w:rsidR="006331CA">
        <w:t xml:space="preserve"> not </w:t>
      </w:r>
      <w:r w:rsidR="00495B5A">
        <w:t xml:space="preserve">identify what barriers </w:t>
      </w:r>
      <w:r w:rsidR="00AF5A61">
        <w:t xml:space="preserve">need to be removed, nor does it identify which population groups </w:t>
      </w:r>
      <w:r w:rsidR="004C1EF0">
        <w:t>remain un</w:t>
      </w:r>
      <w:r w:rsidR="00AF5A61">
        <w:t>able to access services.</w:t>
      </w:r>
    </w:p>
    <w:p w14:paraId="05A0BD4F" w14:textId="4EF73F29" w:rsidR="00FC7B28" w:rsidRDefault="00735418" w:rsidP="00FC7B28">
      <w:r>
        <w:t xml:space="preserve">The </w:t>
      </w:r>
      <w:r w:rsidR="00551053">
        <w:t xml:space="preserve">authors go on to note </w:t>
      </w:r>
      <w:r w:rsidR="00314D9A">
        <w:t xml:space="preserve">that institution-based administrative data, such as that collected in this study, </w:t>
      </w:r>
      <w:r w:rsidR="00EF4BAA">
        <w:t xml:space="preserve">may not be helpful in monitoring equity unless it can be compared with </w:t>
      </w:r>
      <w:r w:rsidR="007D463C">
        <w:t>general catchment population data.</w:t>
      </w:r>
      <w:r w:rsidR="008A68F1">
        <w:t xml:space="preserve"> They argue </w:t>
      </w:r>
      <w:r w:rsidR="0060779A">
        <w:t xml:space="preserve">that generating data </w:t>
      </w:r>
      <w:r w:rsidR="0043263A">
        <w:t xml:space="preserve">on the number of patients with disabilities accessing eye hospitals is a first step towards </w:t>
      </w:r>
      <w:r w:rsidR="00EF6227">
        <w:t xml:space="preserve">creating more equitable services; however, no evidence is presented supporting this argument, and it contrasts to other literature wherein population data is described as a </w:t>
      </w:r>
      <w:r w:rsidR="008419B4">
        <w:t>more useful foundation for action on inclusion.</w:t>
      </w:r>
    </w:p>
    <w:p w14:paraId="7E3EF4E9" w14:textId="3F0FF860" w:rsidR="00FF4EA8" w:rsidRPr="00FC7B28" w:rsidRDefault="00FF4EA8" w:rsidP="00FC7B28">
      <w:r>
        <w:t xml:space="preserve">In relation to the WG questions, the authors </w:t>
      </w:r>
      <w:r w:rsidR="00C45DD2">
        <w:t>recommend the WG-SS be integrated into eye hospitals’ HMIS</w:t>
      </w:r>
      <w:r w:rsidR="009C6579">
        <w:t xml:space="preserve">s and routinely collected </w:t>
      </w:r>
      <w:proofErr w:type="gramStart"/>
      <w:r w:rsidR="009C6579">
        <w:t>in order to</w:t>
      </w:r>
      <w:proofErr w:type="gramEnd"/>
      <w:r w:rsidR="009C6579">
        <w:t xml:space="preserve"> analyse the equity of key outcomes. </w:t>
      </w:r>
      <w:r w:rsidR="00F1632E">
        <w:t xml:space="preserve">They advise against abbreviating or otherwise simplifying the WG-SS, as their </w:t>
      </w:r>
      <w:r w:rsidR="009F6578">
        <w:t xml:space="preserve">analysis of data collected via the full WG-SS </w:t>
      </w:r>
      <w:r w:rsidR="008C4167">
        <w:t>i</w:t>
      </w:r>
      <w:r w:rsidR="009F6578">
        <w:t xml:space="preserve">ndicated that any such modifications would significantly </w:t>
      </w:r>
      <w:r w:rsidR="00022027">
        <w:t>reduce accuracy and lead to non-comparable results.</w:t>
      </w:r>
      <w:r w:rsidR="00DA152A">
        <w:t xml:space="preserve"> Rather, in contexts with limited resources, they propose periodic application of the WG-SS</w:t>
      </w:r>
      <w:r w:rsidR="007471BC">
        <w:t xml:space="preserve">, for example to enable hospital management to monitor changes over time. The use of the extended WG questions </w:t>
      </w:r>
      <w:r w:rsidR="008C4167">
        <w:t>is not clearly recommended</w:t>
      </w:r>
      <w:r w:rsidR="00AE2010">
        <w:t>: the extended set required additional staff training,</w:t>
      </w:r>
      <w:r w:rsidR="00B677FB">
        <w:t xml:space="preserve"> </w:t>
      </w:r>
      <w:r w:rsidR="00920DAD">
        <w:t xml:space="preserve">and the authors </w:t>
      </w:r>
      <w:r w:rsidR="008C4167">
        <w:t xml:space="preserve">report challenges with interpretation of the questions that undermined data quality. </w:t>
      </w:r>
    </w:p>
    <w:p w14:paraId="7BB44B37" w14:textId="1659F668" w:rsidR="00273EAC" w:rsidRDefault="00273EAC" w:rsidP="000B07AD">
      <w:pPr>
        <w:pStyle w:val="Heading4"/>
      </w:pPr>
      <w:proofErr w:type="spellStart"/>
      <w:r w:rsidRPr="00273EAC">
        <w:t>Nesemann</w:t>
      </w:r>
      <w:proofErr w:type="spellEnd"/>
      <w:r w:rsidRPr="00273EAC">
        <w:t xml:space="preserve">, JM, Kandel, RP, </w:t>
      </w:r>
      <w:proofErr w:type="spellStart"/>
      <w:r w:rsidRPr="00273EAC">
        <w:t>Byanju</w:t>
      </w:r>
      <w:proofErr w:type="spellEnd"/>
      <w:r w:rsidRPr="00273EAC">
        <w:t>, R, Poudyal, B, Bhandari, G, Bhandari, S, O’Brien, KS, Stevens, VM, Melo, JS &amp; Keenan, JD 2022, ‘</w:t>
      </w:r>
      <w:hyperlink r:id="rId22" w:history="1">
        <w:r w:rsidRPr="00273EAC">
          <w:rPr>
            <w:rStyle w:val="Hyperlink"/>
          </w:rPr>
          <w:t>Association of visual impairment with disability: a population-based study</w:t>
        </w:r>
      </w:hyperlink>
      <w:r w:rsidRPr="00273EAC">
        <w:t xml:space="preserve">’, </w:t>
      </w:r>
      <w:r w:rsidRPr="00273EAC">
        <w:rPr>
          <w:i/>
        </w:rPr>
        <w:t>Eye</w:t>
      </w:r>
      <w:r w:rsidRPr="00273EAC">
        <w:t>, vol. 36, no. 3, pp. 540–546.</w:t>
      </w:r>
    </w:p>
    <w:p w14:paraId="144EB9EB" w14:textId="773B938E" w:rsidR="00FD09AB" w:rsidRPr="00FD09AB" w:rsidRDefault="00E96B93" w:rsidP="00FD09AB">
      <w:r>
        <w:t xml:space="preserve">This report presents findings from a population study of persons aged 50 and over in Nepal, </w:t>
      </w:r>
      <w:r w:rsidR="002653F3">
        <w:t xml:space="preserve">which aimed to determine links between visual impairments and other disabilities. The WG-SS was used </w:t>
      </w:r>
      <w:r w:rsidR="002B3006">
        <w:t>to identify disabilities.</w:t>
      </w:r>
      <w:r w:rsidR="000D3695">
        <w:t xml:space="preserve"> The study found that persons with visual impairment</w:t>
      </w:r>
      <w:r w:rsidR="00FC33FA">
        <w:t xml:space="preserve"> (worse than 6/60) were more likely to have a disability in the </w:t>
      </w:r>
      <w:r w:rsidR="00930B23">
        <w:t xml:space="preserve">walking (OR </w:t>
      </w:r>
      <w:r w:rsidR="00C6446B">
        <w:t>5.3), washing (</w:t>
      </w:r>
      <w:r w:rsidR="006D091A">
        <w:t>OR 9.4) and communication (OR 5.0) domains. Disabilities in the hearing and memory/concentration domains were more weakly associated with VI.</w:t>
      </w:r>
      <w:r w:rsidR="00AC319C">
        <w:t xml:space="preserve"> The authors report that the WG-SS was </w:t>
      </w:r>
      <w:r w:rsidR="00605CF9">
        <w:t>simple to incorporated, added little time,</w:t>
      </w:r>
      <w:r w:rsidR="00925818">
        <w:t xml:space="preserve"> was well accepted by study participants</w:t>
      </w:r>
      <w:r w:rsidR="00605CF9">
        <w:t xml:space="preserve"> and produced valuable, comparable data.</w:t>
      </w:r>
    </w:p>
    <w:p w14:paraId="4EB68580" w14:textId="161F965D" w:rsidR="00273EAC" w:rsidRDefault="00273EAC" w:rsidP="000B07AD">
      <w:pPr>
        <w:pStyle w:val="Heading4"/>
      </w:pPr>
      <w:proofErr w:type="spellStart"/>
      <w:r w:rsidRPr="00273EAC">
        <w:t>Oye</w:t>
      </w:r>
      <w:proofErr w:type="spellEnd"/>
      <w:r w:rsidRPr="00273EAC">
        <w:t xml:space="preserve">, J, Mactaggart, I, Polack, S, Schmidt, E, </w:t>
      </w:r>
      <w:proofErr w:type="spellStart"/>
      <w:r w:rsidRPr="00273EAC">
        <w:t>Tamo</w:t>
      </w:r>
      <w:proofErr w:type="spellEnd"/>
      <w:r w:rsidRPr="00273EAC">
        <w:t xml:space="preserve">, V, </w:t>
      </w:r>
      <w:proofErr w:type="spellStart"/>
      <w:r w:rsidRPr="00273EAC">
        <w:t>Okwen</w:t>
      </w:r>
      <w:proofErr w:type="spellEnd"/>
      <w:r w:rsidRPr="00273EAC">
        <w:t xml:space="preserve">, M &amp; </w:t>
      </w:r>
      <w:proofErr w:type="spellStart"/>
      <w:r w:rsidRPr="00273EAC">
        <w:t>Kuper</w:t>
      </w:r>
      <w:proofErr w:type="spellEnd"/>
      <w:r w:rsidRPr="00273EAC">
        <w:t>, H 2017, ‘</w:t>
      </w:r>
      <w:hyperlink r:id="rId23" w:history="1">
        <w:r w:rsidRPr="00273EAC">
          <w:rPr>
            <w:rStyle w:val="Hyperlink"/>
          </w:rPr>
          <w:t xml:space="preserve">Prevalence and Causes of Visual Impairment in </w:t>
        </w:r>
        <w:proofErr w:type="spellStart"/>
        <w:r w:rsidRPr="00273EAC">
          <w:rPr>
            <w:rStyle w:val="Hyperlink"/>
          </w:rPr>
          <w:t>Fundong</w:t>
        </w:r>
        <w:proofErr w:type="spellEnd"/>
        <w:r w:rsidRPr="00273EAC">
          <w:rPr>
            <w:rStyle w:val="Hyperlink"/>
          </w:rPr>
          <w:t xml:space="preserve"> District, North West Cameroon: Results of a Population-Based Survey</w:t>
        </w:r>
      </w:hyperlink>
      <w:r w:rsidRPr="00273EAC">
        <w:t xml:space="preserve">’, </w:t>
      </w:r>
      <w:r w:rsidRPr="00273EAC">
        <w:rPr>
          <w:i/>
        </w:rPr>
        <w:t>Ophthalmic Epidemiology</w:t>
      </w:r>
      <w:r w:rsidRPr="00273EAC">
        <w:t>, vol. 24, no. 6, pp. 394–400.</w:t>
      </w:r>
    </w:p>
    <w:p w14:paraId="54D81EB6" w14:textId="41323F2A" w:rsidR="00776FB1" w:rsidRPr="00776FB1" w:rsidRDefault="00D300FB" w:rsidP="00776FB1">
      <w:r>
        <w:t>This study in Cameroon used the WG-SS alongside assessments of VI</w:t>
      </w:r>
      <w:r w:rsidR="00E479D7">
        <w:t xml:space="preserve">, hearing impairment and physical impairments. It found that </w:t>
      </w:r>
      <w:r w:rsidR="002A0679">
        <w:t xml:space="preserve">30% of people with VI also had hearing impairments, 22% also had physical </w:t>
      </w:r>
      <w:r w:rsidR="00B7491A">
        <w:t xml:space="preserve">impairments, and 49% </w:t>
      </w:r>
      <w:r w:rsidR="001B57E6">
        <w:t>reported having ‘a lot’ or more difficulties in at least one WG-SS domain other than vision</w:t>
      </w:r>
      <w:r w:rsidR="00B7491A">
        <w:t xml:space="preserve">. </w:t>
      </w:r>
      <w:r w:rsidR="001B57E6">
        <w:t xml:space="preserve">This evidence </w:t>
      </w:r>
      <w:r w:rsidR="006B1A48">
        <w:t xml:space="preserve">further supports the </w:t>
      </w:r>
      <w:r w:rsidR="007759CD">
        <w:t xml:space="preserve">conclusion that persons with disabilities (other than vision) represent a significant proportion of those </w:t>
      </w:r>
      <w:r w:rsidR="003707FB">
        <w:t xml:space="preserve">with VI, and therefore that eye health services must be inclusive of persons with </w:t>
      </w:r>
      <w:r w:rsidR="003B4D6F">
        <w:t>disabilities</w:t>
      </w:r>
      <w:r w:rsidR="003707FB">
        <w:t xml:space="preserve">. </w:t>
      </w:r>
    </w:p>
    <w:p w14:paraId="5B646D82" w14:textId="6AB8A7AD" w:rsidR="00273EAC" w:rsidRDefault="00273EAC" w:rsidP="000B07AD">
      <w:pPr>
        <w:pStyle w:val="Heading4"/>
      </w:pPr>
      <w:r w:rsidRPr="00273EAC">
        <w:lastRenderedPageBreak/>
        <w:t>Sanders, R, Gascoyne, B, Appleby, P, Rashida, SA &amp; Jolley, E 2021, ‘</w:t>
      </w:r>
      <w:hyperlink r:id="rId24" w:history="1">
        <w:r w:rsidRPr="00273EAC">
          <w:rPr>
            <w:rStyle w:val="Hyperlink"/>
          </w:rPr>
          <w:t>Eye Health Service Uptake among People with Visual Impairment and Other Functional Difficulties in Bangladesh: A Cross-Sectional Study with Short-Term Follow Up</w:t>
        </w:r>
      </w:hyperlink>
      <w:r w:rsidRPr="00273EAC">
        <w:t xml:space="preserve">’, </w:t>
      </w:r>
      <w:r w:rsidRPr="00273EAC">
        <w:rPr>
          <w:i/>
        </w:rPr>
        <w:t>International Journal of Environmental Research and Public Health</w:t>
      </w:r>
      <w:r w:rsidRPr="00273EAC">
        <w:t>, vol. 18, no. 17, p. 9068.</w:t>
      </w:r>
    </w:p>
    <w:p w14:paraId="0DC63B97" w14:textId="4B9AEF88" w:rsidR="000217E2" w:rsidRDefault="009979B0" w:rsidP="00B9116E">
      <w:r>
        <w:t>T</w:t>
      </w:r>
      <w:r w:rsidRPr="009979B0">
        <w:t xml:space="preserve">his study among cataract and refractive error patients in four districts in Bangladesh explores the relationship between self-reported difficulties in </w:t>
      </w:r>
      <w:r>
        <w:t xml:space="preserve">the WG-SS </w:t>
      </w:r>
      <w:r w:rsidRPr="009979B0">
        <w:t>hearing, mobility, self-care, communication and cognition domain</w:t>
      </w:r>
      <w:r>
        <w:t xml:space="preserve">s and </w:t>
      </w:r>
      <w:r w:rsidRPr="009979B0">
        <w:t>eye health service uptake</w:t>
      </w:r>
      <w:r w:rsidR="00AE4F42">
        <w:t>.</w:t>
      </w:r>
      <w:r w:rsidR="00DC5E61">
        <w:t xml:space="preserve"> Data</w:t>
      </w:r>
      <w:r w:rsidR="00357166">
        <w:t xml:space="preserve"> at hospitals was directly entered into the HMIS; data at outreach camps was recorded on paper and later input into the HMIS.</w:t>
      </w:r>
      <w:r w:rsidR="00393756">
        <w:t xml:space="preserve"> </w:t>
      </w:r>
      <w:r w:rsidR="000217E2">
        <w:t>The WG-SS “a lot+” cut off in one or more domains was used to identify persons with functional difficulties, and the vision domain was ex</w:t>
      </w:r>
      <w:r w:rsidR="00B122B3">
        <w:t>cluded from the analysis. Translation into Bangla and cognitive testing were completed.</w:t>
      </w:r>
      <w:r w:rsidR="00E973D1">
        <w:t xml:space="preserve"> </w:t>
      </w:r>
      <w:r w:rsidR="00E973D1" w:rsidRPr="00E973D1">
        <w:t xml:space="preserve">Training was provided </w:t>
      </w:r>
      <w:r w:rsidR="00E973D1">
        <w:t xml:space="preserve">on </w:t>
      </w:r>
      <w:r w:rsidR="00E973D1" w:rsidRPr="00E973D1">
        <w:t>disability sensitization, administration of the WG-SS, interview techniques, extracting data from HMIS, and using the mobile data collection app</w:t>
      </w:r>
      <w:r w:rsidR="00DD3329">
        <w:t xml:space="preserve">, and data collectors </w:t>
      </w:r>
      <w:r w:rsidR="00E973D1" w:rsidRPr="00E973D1">
        <w:t>had some practice days</w:t>
      </w:r>
      <w:r w:rsidR="000217E2">
        <w:t xml:space="preserve"> </w:t>
      </w:r>
      <w:r w:rsidR="00DD3329">
        <w:t>to test the tools in hospitals and outreach camps.</w:t>
      </w:r>
    </w:p>
    <w:p w14:paraId="49059846" w14:textId="1CABAD5F" w:rsidR="00B9116E" w:rsidRDefault="00357166" w:rsidP="00B9116E">
      <w:r>
        <w:t xml:space="preserve">The study </w:t>
      </w:r>
      <w:r w:rsidR="00393756" w:rsidRPr="00393756">
        <w:t xml:space="preserve">found that </w:t>
      </w:r>
      <w:r w:rsidR="00E455DB">
        <w:t xml:space="preserve">26.6% </w:t>
      </w:r>
      <w:r w:rsidR="00C34282">
        <w:t xml:space="preserve">of eye health patients reported </w:t>
      </w:r>
      <w:r w:rsidR="00393756" w:rsidRPr="00393756">
        <w:t xml:space="preserve">functional difficulties </w:t>
      </w:r>
      <w:r w:rsidR="00C34282">
        <w:t>other than vision (</w:t>
      </w:r>
      <w:r w:rsidR="00DB75BA">
        <w:t>31.4% of women, 21.1% of men)</w:t>
      </w:r>
      <w:r w:rsidR="00C34282">
        <w:t>.</w:t>
      </w:r>
      <w:r w:rsidR="002F2427">
        <w:t xml:space="preserve"> </w:t>
      </w:r>
      <w:r w:rsidR="00DB75BA">
        <w:t xml:space="preserve">These patients </w:t>
      </w:r>
      <w:r w:rsidR="00393756" w:rsidRPr="00393756">
        <w:t>were less likely to take up refractive error services compared to people with same need but with no functional difficulties, and that they were more than twice as likely to access surgical services after attending an outreach camp compared with a hospital facility.</w:t>
      </w:r>
      <w:r w:rsidR="00102F79">
        <w:t xml:space="preserve"> N</w:t>
      </w:r>
      <w:r w:rsidR="00102F79" w:rsidRPr="00102F79">
        <w:t>o difference was observed in cataract surgical uptake between people with and without self-reported functional difficulties</w:t>
      </w:r>
      <w:r w:rsidR="00102F79">
        <w:t>.</w:t>
      </w:r>
    </w:p>
    <w:p w14:paraId="0126CACA" w14:textId="60BA0E75" w:rsidR="008A480F" w:rsidRPr="00B9116E" w:rsidRDefault="008A480F" w:rsidP="00B9116E">
      <w:r>
        <w:t xml:space="preserve">The authors note that relatively high levels of </w:t>
      </w:r>
      <w:r w:rsidR="007E1515">
        <w:t xml:space="preserve">access to eye health services for persons with functional difficulties may be due to deliberate outreach and targeting of </w:t>
      </w:r>
      <w:r w:rsidR="00D11653">
        <w:t xml:space="preserve">marginalised patient groups in this context. They </w:t>
      </w:r>
      <w:r w:rsidR="00EA4DEF">
        <w:t xml:space="preserve">also note that study data does not </w:t>
      </w:r>
      <w:r w:rsidR="001C3625">
        <w:t xml:space="preserve">explain the causes of inequality </w:t>
      </w:r>
      <w:r w:rsidR="0022703A">
        <w:t>in</w:t>
      </w:r>
      <w:r w:rsidR="00525D32">
        <w:t xml:space="preserve"> access to refractive error services; they </w:t>
      </w:r>
      <w:r w:rsidR="00F132FD">
        <w:t xml:space="preserve">posit that it may be due to costs, </w:t>
      </w:r>
      <w:r w:rsidR="00B37D9F">
        <w:t>transport challenges or physical accessibility issues.</w:t>
      </w:r>
    </w:p>
    <w:p w14:paraId="36C9EEBE" w14:textId="7C1CF629" w:rsidR="00273EAC" w:rsidRDefault="00273EAC" w:rsidP="000B07AD">
      <w:pPr>
        <w:pStyle w:val="Heading4"/>
      </w:pPr>
      <w:proofErr w:type="spellStart"/>
      <w:r w:rsidRPr="00273EAC">
        <w:t>SightSavers</w:t>
      </w:r>
      <w:proofErr w:type="spellEnd"/>
      <w:r w:rsidRPr="00273EAC">
        <w:t xml:space="preserve"> 2016, </w:t>
      </w:r>
      <w:hyperlink r:id="rId25" w:history="1">
        <w:r w:rsidRPr="00273EAC">
          <w:rPr>
            <w:rStyle w:val="Hyperlink"/>
            <w:i/>
          </w:rPr>
          <w:t>Everybody Counts: Disability Disaggregation of Data Pilot Projects in India and Tanzania – Final Evaluation Report</w:t>
        </w:r>
      </w:hyperlink>
      <w:r w:rsidRPr="00273EAC">
        <w:t xml:space="preserve">, </w:t>
      </w:r>
      <w:proofErr w:type="spellStart"/>
      <w:r w:rsidRPr="00273EAC">
        <w:t>SightSavers</w:t>
      </w:r>
      <w:proofErr w:type="spellEnd"/>
      <w:r w:rsidRPr="00273EAC">
        <w:t>, accessed March 14, 2023, from &lt;https://www.sightsavers.org/wp-content/uploads/2017/09/everybodycounts_brochure_accessible_web.pdf&gt;.</w:t>
      </w:r>
    </w:p>
    <w:p w14:paraId="7E1C89FD" w14:textId="2C0E9EF1" w:rsidR="0013706B" w:rsidRDefault="00E61D25" w:rsidP="0013706B">
      <w:r>
        <w:t xml:space="preserve">This report presents findings from an evaluation of </w:t>
      </w:r>
      <w:proofErr w:type="spellStart"/>
      <w:r>
        <w:t>Sightsavers</w:t>
      </w:r>
      <w:proofErr w:type="spellEnd"/>
      <w:r>
        <w:t xml:space="preserve">’ </w:t>
      </w:r>
      <w:r w:rsidR="00FD78C1">
        <w:t xml:space="preserve">two DDD pilot projects in India and Tanzania. </w:t>
      </w:r>
      <w:r w:rsidR="007104A4">
        <w:t>In India, extra data collectors were employed to administer the WG-SS</w:t>
      </w:r>
      <w:r w:rsidR="00D16BD2">
        <w:t xml:space="preserve"> and enter data into the HMIS</w:t>
      </w:r>
      <w:r w:rsidR="009143A9">
        <w:t xml:space="preserve">; this was done after registering </w:t>
      </w:r>
      <w:r w:rsidR="0062530A">
        <w:t>and being examined by the ophthalmic assistant</w:t>
      </w:r>
      <w:r w:rsidR="009143A9">
        <w:t xml:space="preserve">, </w:t>
      </w:r>
      <w:r w:rsidR="0062530A">
        <w:t xml:space="preserve">and </w:t>
      </w:r>
      <w:r w:rsidR="009143A9">
        <w:t xml:space="preserve">while waiting to </w:t>
      </w:r>
      <w:r w:rsidR="00D937AC">
        <w:t>see the optometrist</w:t>
      </w:r>
      <w:r w:rsidR="00D16BD2">
        <w:t>.</w:t>
      </w:r>
      <w:r w:rsidR="00856953">
        <w:t xml:space="preserve"> It was found to take 5-8 minutes per patient.</w:t>
      </w:r>
      <w:r w:rsidR="00D16BD2">
        <w:t xml:space="preserve"> </w:t>
      </w:r>
      <w:r w:rsidR="0062530A">
        <w:t xml:space="preserve">(An initial trial found that </w:t>
      </w:r>
      <w:r w:rsidR="0064499F">
        <w:t>collecting data at the registration counter was not feasible due to busyness and lack of privacy.</w:t>
      </w:r>
      <w:r w:rsidR="009F1C86">
        <w:t xml:space="preserve"> One ophthalmic assistant trialled </w:t>
      </w:r>
      <w:r w:rsidR="00971908">
        <w:t xml:space="preserve">collecting WG-SS </w:t>
      </w:r>
      <w:proofErr w:type="gramStart"/>
      <w:r w:rsidR="00971908">
        <w:t>data, but</w:t>
      </w:r>
      <w:proofErr w:type="gramEnd"/>
      <w:r w:rsidR="00971908">
        <w:t xml:space="preserve"> reported that this slowed down the process and made him feel awkward.</w:t>
      </w:r>
      <w:r w:rsidR="0064499F">
        <w:t>)</w:t>
      </w:r>
      <w:r w:rsidR="00AC265C">
        <w:t xml:space="preserve"> An electronic HMIS was due to be introduced in the hospital</w:t>
      </w:r>
      <w:r w:rsidR="00BE274C">
        <w:t xml:space="preserve">, which was anticipated to solve some of the challenges </w:t>
      </w:r>
      <w:r w:rsidR="009B748E">
        <w:t>and potentially obviate the need to employ a dedicated data collector.</w:t>
      </w:r>
      <w:r w:rsidR="0090379C">
        <w:t xml:space="preserve"> Spot checks on data were carried out monthly in each hospital and vision centre.</w:t>
      </w:r>
    </w:p>
    <w:p w14:paraId="09B5EEE6" w14:textId="6F8FEAC6" w:rsidR="00B71973" w:rsidRDefault="001E0760" w:rsidP="0013706B">
      <w:r>
        <w:t xml:space="preserve">Reported challenges with administering the WG-SS included </w:t>
      </w:r>
      <w:r w:rsidR="0047519C">
        <w:t>requiring more time and clearer communication when asking the questions to older adults. S</w:t>
      </w:r>
      <w:r>
        <w:t>ome patients, especially younger persons</w:t>
      </w:r>
      <w:r w:rsidR="00B34D98">
        <w:t xml:space="preserve"> (and possibly those from middle class areas rather than slum communities)</w:t>
      </w:r>
      <w:r>
        <w:t xml:space="preserve">, </w:t>
      </w:r>
      <w:r w:rsidR="0047519C">
        <w:t xml:space="preserve">reportedly objected </w:t>
      </w:r>
      <w:r>
        <w:t>to being asked the questions, despite being told they were to inform project improvements.</w:t>
      </w:r>
      <w:r w:rsidR="00B403D7">
        <w:t xml:space="preserve"> Clearer communication</w:t>
      </w:r>
      <w:r w:rsidR="0062423B">
        <w:t xml:space="preserve"> and provision of IEC materials were recommended to explain the purpose and rationale for the questions.</w:t>
      </w:r>
      <w:r w:rsidR="00961FE4">
        <w:t xml:space="preserve"> </w:t>
      </w:r>
      <w:r w:rsidR="0047519C">
        <w:lastRenderedPageBreak/>
        <w:t xml:space="preserve">Conversely, many persons with disabilities were happy to be asked the questions </w:t>
      </w:r>
      <w:r w:rsidR="00D279AE">
        <w:t xml:space="preserve">and enjoyed the opportunity to discuss their </w:t>
      </w:r>
      <w:r w:rsidR="005C17AE">
        <w:t xml:space="preserve">challenges and seek information or referrals. </w:t>
      </w:r>
      <w:r w:rsidR="00A15F9D">
        <w:t>Data collectors felt uncomfortable because they did not have any services or referral information to provide in such cases.</w:t>
      </w:r>
    </w:p>
    <w:p w14:paraId="006627B3" w14:textId="541CDE92" w:rsidR="00C37287" w:rsidRDefault="00C37287" w:rsidP="0013706B">
      <w:r w:rsidRPr="00C37287">
        <w:t xml:space="preserve">At the beginning of the project there </w:t>
      </w:r>
      <w:r w:rsidR="00316B6B">
        <w:t xml:space="preserve">reportedly </w:t>
      </w:r>
      <w:r w:rsidRPr="00C37287">
        <w:t>were challenges in convincing some stakeholders about the usefulness of the WG</w:t>
      </w:r>
      <w:r w:rsidR="009C7AF2">
        <w:t>-</w:t>
      </w:r>
      <w:r w:rsidRPr="00C37287">
        <w:t>SS as opposed to a single direct question, or a clinical diagnosis, and this was particularly the case with medically trained stakeholders.</w:t>
      </w:r>
      <w:r w:rsidR="00C62CA6">
        <w:t xml:space="preserve"> </w:t>
      </w:r>
      <w:r w:rsidR="00C62CA6" w:rsidRPr="00C62CA6">
        <w:t>By the end of the project, programme managers reported no problems with using the WG</w:t>
      </w:r>
      <w:r w:rsidR="00C62CA6">
        <w:t>-</w:t>
      </w:r>
      <w:r w:rsidR="00C62CA6" w:rsidRPr="00C62CA6">
        <w:t>SS and described the concept of functional disability as useful for their purposes.</w:t>
      </w:r>
      <w:r w:rsidR="00C62CA6">
        <w:t xml:space="preserve"> The authors attribute this change to careful sens</w:t>
      </w:r>
      <w:r w:rsidR="007D10C1">
        <w:t>itisation to understand the different definitions of disability and their different utilities.</w:t>
      </w:r>
      <w:r w:rsidR="00E7036B">
        <w:t xml:space="preserve"> </w:t>
      </w:r>
      <w:r w:rsidR="00CA2F63">
        <w:t xml:space="preserve">Training was reported to build awareness of disability and change the way staff interact with persons with disabilities. The authors note that </w:t>
      </w:r>
      <w:r w:rsidR="00510206">
        <w:t>regular/refresher training was needed</w:t>
      </w:r>
      <w:r w:rsidR="00195AB3">
        <w:t xml:space="preserve"> (potentially at six-monthly intervals)</w:t>
      </w:r>
      <w:r w:rsidR="00510206">
        <w:t xml:space="preserve">, and it was essential to involve senior/management staff (as well as data collectors) to </w:t>
      </w:r>
      <w:r w:rsidR="00B460CC">
        <w:t>ensure buy-in.</w:t>
      </w:r>
    </w:p>
    <w:p w14:paraId="1A4A419C" w14:textId="77777777" w:rsidR="00667115" w:rsidRDefault="001A4D1B" w:rsidP="0013706B">
      <w:r>
        <w:t>Overall, 8.5% of eye health patients in India were identified as having additional disabilities other than vision (using the standard WG-SS ‘a lot+’ cut-off).</w:t>
      </w:r>
      <w:r w:rsidR="00F82373">
        <w:t xml:space="preserve"> A binary </w:t>
      </w:r>
      <w:r w:rsidR="0060024C">
        <w:t>“</w:t>
      </w:r>
      <w:r w:rsidR="004B3B05">
        <w:t>Are you disabled</w:t>
      </w:r>
      <w:r w:rsidR="0060024C">
        <w:t>” question was also asked – to enable comparison to local census data – and</w:t>
      </w:r>
      <w:r w:rsidR="001F1CA8">
        <w:t xml:space="preserve"> identified </w:t>
      </w:r>
      <w:r w:rsidR="004B3B05">
        <w:t>only 0.6%</w:t>
      </w:r>
      <w:r w:rsidR="00667115">
        <w:t xml:space="preserve"> of patients.</w:t>
      </w:r>
      <w:r w:rsidR="00C77AAD">
        <w:t xml:space="preserve"> </w:t>
      </w:r>
    </w:p>
    <w:p w14:paraId="729372EF" w14:textId="0B447066" w:rsidR="001A4D1B" w:rsidRDefault="00C77AAD" w:rsidP="0013706B">
      <w:r>
        <w:t xml:space="preserve">Comparison of patient data to existing population sources showed </w:t>
      </w:r>
      <w:r w:rsidRPr="00C77AAD">
        <w:t xml:space="preserve">that </w:t>
      </w:r>
      <w:r>
        <w:t xml:space="preserve">persons </w:t>
      </w:r>
      <w:r w:rsidRPr="00C77AAD">
        <w:t xml:space="preserve">with </w:t>
      </w:r>
      <w:r w:rsidR="00667115">
        <w:t xml:space="preserve">disabilities </w:t>
      </w:r>
      <w:r>
        <w:t xml:space="preserve">were </w:t>
      </w:r>
      <w:r w:rsidRPr="00C77AAD">
        <w:t xml:space="preserve">not accessing services in the same proportion as </w:t>
      </w:r>
      <w:r>
        <w:t xml:space="preserve">persons </w:t>
      </w:r>
      <w:r w:rsidRPr="00C77AAD">
        <w:t xml:space="preserve">who do not have disabilities. </w:t>
      </w:r>
      <w:r>
        <w:t xml:space="preserve">Data </w:t>
      </w:r>
      <w:r w:rsidRPr="00C77AAD">
        <w:t>show</w:t>
      </w:r>
      <w:r>
        <w:t xml:space="preserve">ed </w:t>
      </w:r>
      <w:r w:rsidRPr="00C77AAD">
        <w:t xml:space="preserve">that barriers to access seem to be more important in secondary/tertiary health centres </w:t>
      </w:r>
      <w:r>
        <w:t xml:space="preserve">than in </w:t>
      </w:r>
      <w:r w:rsidR="004E114A">
        <w:t xml:space="preserve">primary vision centres, </w:t>
      </w:r>
      <w:r w:rsidRPr="00C77AAD">
        <w:t xml:space="preserve">and </w:t>
      </w:r>
      <w:r w:rsidR="004E114A">
        <w:t xml:space="preserve">to </w:t>
      </w:r>
      <w:r w:rsidRPr="00C77AAD">
        <w:t xml:space="preserve">affect women with disabilities more </w:t>
      </w:r>
      <w:r w:rsidR="004E114A">
        <w:t>than men with disabilities.</w:t>
      </w:r>
    </w:p>
    <w:p w14:paraId="6583DE40" w14:textId="77777777" w:rsidR="00042128" w:rsidRDefault="008F0E5B" w:rsidP="0013706B">
      <w:r>
        <w:t xml:space="preserve">The authors found that a key outcome of the DDD collection process was changing attitudes and practices among health providers. </w:t>
      </w:r>
      <w:r w:rsidR="002641B2">
        <w:t>Service providers reported feeling closer to the community and</w:t>
      </w:r>
      <w:r w:rsidR="00F57D72">
        <w:t xml:space="preserve"> obligated to provide information on relevant services.</w:t>
      </w:r>
      <w:r w:rsidR="004878BF">
        <w:t xml:space="preserve"> The authors note that this was </w:t>
      </w:r>
      <w:r w:rsidR="00530464">
        <w:t xml:space="preserve">an outcome of the </w:t>
      </w:r>
      <w:r w:rsidR="004878BF">
        <w:t xml:space="preserve">process of collecting data and engaging with persons with disabilities, rather than </w:t>
      </w:r>
      <w:r w:rsidR="00530464">
        <w:t xml:space="preserve">being due to the findings of </w:t>
      </w:r>
      <w:r w:rsidR="004878BF">
        <w:t>data</w:t>
      </w:r>
      <w:r w:rsidR="00530464">
        <w:t xml:space="preserve"> analysis</w:t>
      </w:r>
      <w:r w:rsidR="00CD7EEA">
        <w:t xml:space="preserve">. </w:t>
      </w:r>
    </w:p>
    <w:p w14:paraId="3BD6BC89" w14:textId="5DCEA3AE" w:rsidR="00CD7EEA" w:rsidRPr="0013706B" w:rsidRDefault="00CD7EEA" w:rsidP="0013706B">
      <w:r>
        <w:t xml:space="preserve">The authors note an outstanding question of whether </w:t>
      </w:r>
      <w:r w:rsidR="00042128">
        <w:t xml:space="preserve">DDD needs to be collected routinely or </w:t>
      </w:r>
      <w:r w:rsidR="00A54B72">
        <w:t>can be sampled periodically</w:t>
      </w:r>
      <w:r w:rsidR="008E0986">
        <w:t xml:space="preserve"> – and, relatedly, whether the positive </w:t>
      </w:r>
      <w:r w:rsidR="00A4613F">
        <w:t xml:space="preserve">attitude and practice-change outcomes that </w:t>
      </w:r>
      <w:r w:rsidR="008E0986">
        <w:t xml:space="preserve">resulted </w:t>
      </w:r>
      <w:r w:rsidR="00A4613F">
        <w:t>from routine DDD collection</w:t>
      </w:r>
      <w:r w:rsidR="00042128">
        <w:t xml:space="preserve"> might also be brought about when using sampling.</w:t>
      </w:r>
    </w:p>
    <w:p w14:paraId="4BCDFBE8" w14:textId="2C5D71A8" w:rsidR="00273EAC" w:rsidRDefault="00273EAC" w:rsidP="000B07AD">
      <w:pPr>
        <w:pStyle w:val="Heading4"/>
      </w:pPr>
      <w:proofErr w:type="spellStart"/>
      <w:r w:rsidRPr="00273EAC">
        <w:t>Trotignon</w:t>
      </w:r>
      <w:proofErr w:type="spellEnd"/>
      <w:r w:rsidRPr="00273EAC">
        <w:t xml:space="preserve">, G, Engels, T, Saeed Ali, S, </w:t>
      </w:r>
      <w:proofErr w:type="spellStart"/>
      <w:r w:rsidRPr="00273EAC">
        <w:t>Mugwang’a</w:t>
      </w:r>
      <w:proofErr w:type="spellEnd"/>
      <w:r w:rsidRPr="00273EAC">
        <w:t xml:space="preserve">, Z, Jones, I, </w:t>
      </w:r>
      <w:proofErr w:type="spellStart"/>
      <w:r w:rsidRPr="00273EAC">
        <w:t>Bechange</w:t>
      </w:r>
      <w:proofErr w:type="spellEnd"/>
      <w:r w:rsidRPr="00273EAC">
        <w:t xml:space="preserve">, S, </w:t>
      </w:r>
      <w:proofErr w:type="spellStart"/>
      <w:r w:rsidRPr="00273EAC">
        <w:t>Kaminyoghe</w:t>
      </w:r>
      <w:proofErr w:type="spellEnd"/>
      <w:r w:rsidRPr="00273EAC">
        <w:t>, E, Adera, TH &amp; Schmidt, E 2022, ‘</w:t>
      </w:r>
      <w:hyperlink r:id="rId26" w:history="1">
        <w:r w:rsidRPr="00273EAC">
          <w:rPr>
            <w:rStyle w:val="Hyperlink"/>
          </w:rPr>
          <w:t>Measuring equity of access to eye health outreach camps in rural Malawi</w:t>
        </w:r>
      </w:hyperlink>
      <w:r w:rsidRPr="00273EAC">
        <w:t xml:space="preserve">’, </w:t>
      </w:r>
      <w:r w:rsidRPr="00273EAC">
        <w:rPr>
          <w:i/>
        </w:rPr>
        <w:t>PLOS ONE</w:t>
      </w:r>
      <w:r w:rsidRPr="00273EAC">
        <w:t>, vol. 17, no. 5, p. e0268116.</w:t>
      </w:r>
    </w:p>
    <w:p w14:paraId="17DDF72D" w14:textId="040DFF0D" w:rsidR="004233FD" w:rsidRDefault="004233FD" w:rsidP="004233FD">
      <w:r>
        <w:t xml:space="preserve">This paper reports on a study in Malawi </w:t>
      </w:r>
      <w:r w:rsidR="00D47BF0">
        <w:t>measuring equity in access to eye an eye camp, including for persons with disabilities. Patients attending the camp were selected by interval random sampling for a further interview</w:t>
      </w:r>
      <w:r w:rsidR="00E42C6B">
        <w:t>, wherein equity questions were asked including the WG-SS.</w:t>
      </w:r>
      <w:r w:rsidR="004E323B">
        <w:t xml:space="preserve"> Data was collected electronically.</w:t>
      </w:r>
      <w:r w:rsidR="00A171D7">
        <w:t xml:space="preserve"> The study found that </w:t>
      </w:r>
      <w:r w:rsidR="007A7CD8">
        <w:t xml:space="preserve">27.5% of eye camp patients had a disability, using the recommended WG cut-off </w:t>
      </w:r>
      <w:r w:rsidR="00B26CB6">
        <w:t xml:space="preserve">of ‘a lot+’ difficulty in one or more domains. This </w:t>
      </w:r>
      <w:r w:rsidR="00DB3275">
        <w:t xml:space="preserve">compared to 5.6% in existing population data. </w:t>
      </w:r>
      <w:r w:rsidR="003124DC">
        <w:t xml:space="preserve">Excluding the vision domain, 14.2% of </w:t>
      </w:r>
      <w:r w:rsidR="00411B26">
        <w:t>participants were considered to have a disability</w:t>
      </w:r>
      <w:r w:rsidR="005570ED">
        <w:t>.</w:t>
      </w:r>
    </w:p>
    <w:p w14:paraId="2C3D9A52" w14:textId="77777777" w:rsidR="00204F6C" w:rsidRDefault="00ED4749" w:rsidP="005C4FD4">
      <w:pPr>
        <w:sectPr w:rsidR="00204F6C" w:rsidSect="00FD03FE">
          <w:endnotePr>
            <w:numFmt w:val="decimal"/>
          </w:endnotePr>
          <w:pgSz w:w="11906" w:h="16838" w:code="9"/>
          <w:pgMar w:top="907" w:right="907" w:bottom="1134" w:left="907" w:header="0" w:footer="454" w:gutter="0"/>
          <w:cols w:space="708"/>
          <w:docGrid w:linePitch="360"/>
        </w:sectPr>
      </w:pPr>
      <w:r>
        <w:t>The authors report that collecting data from a sample of patients at a more convenient time for them required more work for data collectors but prevented interference with the flow of patients</w:t>
      </w:r>
      <w:r w:rsidR="00C76653">
        <w:t xml:space="preserve">. </w:t>
      </w:r>
      <w:r w:rsidR="00C76653" w:rsidRPr="00C76653">
        <w:t xml:space="preserve">Collecting additional data after the initial screening was </w:t>
      </w:r>
      <w:r w:rsidR="00C76653">
        <w:t>considered the</w:t>
      </w:r>
      <w:r w:rsidR="00C76653" w:rsidRPr="00C76653">
        <w:t xml:space="preserve"> </w:t>
      </w:r>
      <w:r w:rsidR="00C76653" w:rsidRPr="00C76653">
        <w:lastRenderedPageBreak/>
        <w:t>most optim</w:t>
      </w:r>
      <w:r w:rsidR="00C76653">
        <w:t>al</w:t>
      </w:r>
      <w:r w:rsidR="00C76653" w:rsidRPr="00C76653">
        <w:t xml:space="preserve"> point, as by that time the patients were either on their way home (if they did not have any eye problems) or were waiting at the camp for further examination and treatment.</w:t>
      </w:r>
    </w:p>
    <w:p w14:paraId="7643142B" w14:textId="6BA470EF" w:rsidR="005C4FD4" w:rsidRDefault="00204F6C" w:rsidP="00204F6C">
      <w:pPr>
        <w:pStyle w:val="Heading1"/>
      </w:pPr>
      <w:bookmarkStart w:id="29" w:name="_Annex_3:_Additional"/>
      <w:bookmarkStart w:id="30" w:name="_Toc135388383"/>
      <w:bookmarkEnd w:id="29"/>
      <w:r>
        <w:lastRenderedPageBreak/>
        <w:t xml:space="preserve">Annex 3: </w:t>
      </w:r>
      <w:r w:rsidR="00F16E0A">
        <w:t>Additional b</w:t>
      </w:r>
      <w:r w:rsidR="00B33C3F">
        <w:t>ibliograph</w:t>
      </w:r>
      <w:r w:rsidR="00A517D2">
        <w:t>ies</w:t>
      </w:r>
      <w:bookmarkEnd w:id="30"/>
    </w:p>
    <w:p w14:paraId="492E3C54" w14:textId="39B920AC" w:rsidR="00B33C3F" w:rsidRDefault="00C1208D" w:rsidP="00813416">
      <w:pPr>
        <w:pStyle w:val="Heading2"/>
      </w:pPr>
      <w:bookmarkStart w:id="31" w:name="_Toc135388384"/>
      <w:r>
        <w:t xml:space="preserve">Key reference </w:t>
      </w:r>
      <w:r w:rsidR="00813416">
        <w:t>literature on disability data in health</w:t>
      </w:r>
      <w:bookmarkEnd w:id="31"/>
      <w:r w:rsidR="00813416">
        <w:t xml:space="preserve"> </w:t>
      </w:r>
    </w:p>
    <w:p w14:paraId="679F3D65" w14:textId="77777777" w:rsidR="00C1208D" w:rsidRPr="00C1208D" w:rsidRDefault="00C1208D" w:rsidP="00C1208D">
      <w:r w:rsidRPr="00C1208D">
        <w:t xml:space="preserve">Missing Billion Initiative &amp; Clinton Health Access Initiative 2022, </w:t>
      </w:r>
      <w:hyperlink r:id="rId27" w:history="1">
        <w:r w:rsidRPr="00C1208D">
          <w:rPr>
            <w:rStyle w:val="Hyperlink"/>
            <w:i/>
            <w:iCs/>
          </w:rPr>
          <w:t>Reimagining health systems that expect, accept and connect 1 billion people with disabilities</w:t>
        </w:r>
      </w:hyperlink>
      <w:r w:rsidRPr="00C1208D">
        <w:t>, MBI and CHAI, accessed March 16, 2023, from &lt;https://static1.squarespace.com/static/5d79d3afbc2a705c96c5d2e5/t/634d9409d12381407c9c4dc8/1666028716085/MBReport_Reimagining+Health+Systems_Oct22&gt;.</w:t>
      </w:r>
    </w:p>
    <w:p w14:paraId="630332F1" w14:textId="77777777" w:rsidR="00C1208D" w:rsidRPr="00C1208D" w:rsidRDefault="00C1208D" w:rsidP="00C1208D">
      <w:r w:rsidRPr="00C1208D">
        <w:t xml:space="preserve">Office of the United Nations High Commissioner for Human Rights 2020a, </w:t>
      </w:r>
      <w:hyperlink r:id="rId28" w:history="1">
        <w:r w:rsidRPr="00C1208D">
          <w:rPr>
            <w:rStyle w:val="Hyperlink"/>
            <w:i/>
            <w:iCs/>
          </w:rPr>
          <w:t>Policy Guidelines for Inclusive Sustainable Development Goals: Good health and well-being</w:t>
        </w:r>
      </w:hyperlink>
      <w:r w:rsidRPr="00C1208D">
        <w:t>, accessed from &lt;https://www.ohchr.org/sites/default/files/Documents/Issues/Disability/SDG-CRPD-Resource/policy-guideline-good-health.pdf&gt;.</w:t>
      </w:r>
    </w:p>
    <w:p w14:paraId="0CC62CEF" w14:textId="77777777" w:rsidR="00C1208D" w:rsidRPr="00C1208D" w:rsidRDefault="00C1208D" w:rsidP="00C1208D">
      <w:r w:rsidRPr="00C1208D">
        <w:t xml:space="preserve">Office of the United Nations High Commissioner for Human Rights 2020b, </w:t>
      </w:r>
      <w:hyperlink r:id="rId29" w:history="1">
        <w:r w:rsidRPr="00C1208D">
          <w:rPr>
            <w:rStyle w:val="Hyperlink"/>
            <w:i/>
            <w:iCs/>
          </w:rPr>
          <w:t>Human Rights Indicators on the Convention on the Rights of Persons with Disabilities: Article 25: Illustrative indicators on health</w:t>
        </w:r>
      </w:hyperlink>
      <w:r w:rsidRPr="00C1208D">
        <w:t>, accessed from &lt;https://www.ohchr.org/sites/default/files/article-25-indicators-en.pdf&gt;.</w:t>
      </w:r>
    </w:p>
    <w:p w14:paraId="29B67716" w14:textId="77777777" w:rsidR="00C1208D" w:rsidRPr="00C1208D" w:rsidRDefault="00C1208D" w:rsidP="00C1208D">
      <w:r w:rsidRPr="00C1208D">
        <w:t xml:space="preserve">UNICEF 2022, </w:t>
      </w:r>
      <w:hyperlink r:id="rId30" w:history="1">
        <w:r w:rsidRPr="00C1208D">
          <w:rPr>
            <w:rStyle w:val="Hyperlink"/>
            <w:i/>
            <w:iCs/>
          </w:rPr>
          <w:t>Inclusion of Children and Young People with Diasbilities in Routine General Health Care : Practice Guide</w:t>
        </w:r>
      </w:hyperlink>
      <w:r w:rsidRPr="00C1208D">
        <w:t>, UNICEF, accessed March 16, 2023, from &lt;https://www.unicef.org/media/127496/file/Disability_Inclusion_in_Routine_General_Health_Care_Practice_Guide_2022.pdf&gt;.</w:t>
      </w:r>
    </w:p>
    <w:p w14:paraId="58034B8D" w14:textId="77777777" w:rsidR="00C1208D" w:rsidRPr="00C1208D" w:rsidRDefault="00C1208D" w:rsidP="00C1208D">
      <w:r w:rsidRPr="00C1208D">
        <w:t xml:space="preserve">World Health Organization 2022, </w:t>
      </w:r>
      <w:hyperlink r:id="rId31" w:history="1">
        <w:r w:rsidRPr="00C1208D">
          <w:rPr>
            <w:rStyle w:val="Hyperlink"/>
            <w:i/>
            <w:iCs/>
          </w:rPr>
          <w:t>Global report on health equity for persons with disabilities</w:t>
        </w:r>
      </w:hyperlink>
      <w:r w:rsidRPr="00C1208D">
        <w:t>, World Health Organization, Geneva, accessed March 14, 2023, from &lt;https://www.who.int/publications/i/item/9789240063600&gt;.</w:t>
      </w:r>
    </w:p>
    <w:p w14:paraId="540AB385" w14:textId="3817662B" w:rsidR="00B17265" w:rsidRPr="00B17265" w:rsidRDefault="00C1208D" w:rsidP="00B17265">
      <w:r w:rsidRPr="00C1208D">
        <w:t xml:space="preserve">World Health Organization. Regional Office for the Western Pacific 2020, </w:t>
      </w:r>
      <w:hyperlink r:id="rId32" w:history="1">
        <w:r w:rsidRPr="00C1208D">
          <w:rPr>
            <w:rStyle w:val="Hyperlink"/>
            <w:i/>
            <w:iCs/>
          </w:rPr>
          <w:t>Disability-inclusive health services toolkit : a resource for health facilities in the Western Pacific Region</w:t>
        </w:r>
      </w:hyperlink>
      <w:r w:rsidRPr="00C1208D">
        <w:t>, WHO Regional Office for the Western Pacific, accessed March 16, 2023, from &lt;https://apps.who.int/iris/handle/10665/336857&gt;.</w:t>
      </w:r>
    </w:p>
    <w:p w14:paraId="49CA4851" w14:textId="3995E329" w:rsidR="00813416" w:rsidRDefault="00B33C3F" w:rsidP="00813416">
      <w:pPr>
        <w:pStyle w:val="Heading2"/>
      </w:pPr>
      <w:bookmarkStart w:id="32" w:name="_Background_literature_on"/>
      <w:bookmarkStart w:id="33" w:name="_Toc135388385"/>
      <w:bookmarkEnd w:id="32"/>
      <w:r>
        <w:t xml:space="preserve">Background literature on disability data </w:t>
      </w:r>
      <w:r w:rsidR="00B17265">
        <w:t xml:space="preserve">in </w:t>
      </w:r>
      <w:r w:rsidR="00813416">
        <w:t>development and humanitarian programming</w:t>
      </w:r>
      <w:bookmarkEnd w:id="33"/>
    </w:p>
    <w:p w14:paraId="1071FF66" w14:textId="474BF6EB" w:rsidR="00182FEA" w:rsidRPr="00182FEA" w:rsidRDefault="00182FEA" w:rsidP="00182FEA">
      <w:r w:rsidRPr="00182FEA">
        <w:t xml:space="preserve">Bush, A, Carroll, A &amp; James, K 2015, </w:t>
      </w:r>
      <w:hyperlink r:id="rId33" w:history="1">
        <w:r w:rsidRPr="00182FEA">
          <w:rPr>
            <w:rStyle w:val="Hyperlink"/>
            <w:i/>
            <w:iCs/>
          </w:rPr>
          <w:t>Practice note : collecting and using data on disability to inform inclusive development</w:t>
        </w:r>
      </w:hyperlink>
      <w:r w:rsidRPr="00182FEA">
        <w:t>, Plan International Australia &amp; CBM Australia-Nossal Institute Partnership for Disability Inclusive Development, accessed from &lt;https://www.did4all.com.au/Resources/Plan-CBM-Nossal_Disability-Data-Collection-Practice-Note_2016Update.pdf&gt;.</w:t>
      </w:r>
    </w:p>
    <w:p w14:paraId="005FB8A3" w14:textId="26DBC86F" w:rsidR="00182FEA" w:rsidRPr="00182FEA" w:rsidRDefault="00182FEA" w:rsidP="00182FEA">
      <w:r w:rsidRPr="00182FEA">
        <w:t xml:space="preserve">CBM Global Inclusion Advisory Group 2023, </w:t>
      </w:r>
      <w:r w:rsidRPr="00182FEA">
        <w:rPr>
          <w:i/>
          <w:iCs/>
        </w:rPr>
        <w:t>Using the Washington Group questions on disability data in development programs:  A learning brief</w:t>
      </w:r>
      <w:r w:rsidRPr="00182FEA">
        <w:t>, CBM Global Inclusion Advisory Group</w:t>
      </w:r>
      <w:r w:rsidR="002E16BE">
        <w:t xml:space="preserve"> </w:t>
      </w:r>
      <w:r w:rsidR="002E16BE" w:rsidRPr="002E16BE">
        <w:t>[unpublished draft report]</w:t>
      </w:r>
      <w:r w:rsidRPr="00182FEA">
        <w:t>.</w:t>
      </w:r>
    </w:p>
    <w:p w14:paraId="733AEAC0" w14:textId="6EA0FA88" w:rsidR="00182FEA" w:rsidRPr="00182FEA" w:rsidRDefault="00182FEA" w:rsidP="00182FEA">
      <w:r w:rsidRPr="00182FEA">
        <w:t xml:space="preserve">Humanity and Inclusion 2019, </w:t>
      </w:r>
      <w:hyperlink r:id="rId34" w:history="1">
        <w:r w:rsidRPr="00182FEA">
          <w:rPr>
            <w:rStyle w:val="Hyperlink"/>
            <w:i/>
            <w:iCs/>
          </w:rPr>
          <w:t xml:space="preserve">Data on Persons with Disabilities in Humanitarian Action: Collecting quantitative data with the Washington Group Questions - Key findings and </w:t>
        </w:r>
        <w:r w:rsidRPr="00182FEA">
          <w:rPr>
            <w:rStyle w:val="Hyperlink"/>
            <w:i/>
            <w:iCs/>
          </w:rPr>
          <w:lastRenderedPageBreak/>
          <w:t>recommendations</w:t>
        </w:r>
      </w:hyperlink>
      <w:r w:rsidRPr="00182FEA">
        <w:t>, Humanity and Inclusion, accessed March 14, 2023, from &lt;https://www.humanity-inclusion.org.uk/sn_uploads/document/2019-05-data-on-persons-with-disabilities-in-humanitarian-action-key-findings-and-recommendations.pdf&gt;.</w:t>
      </w:r>
    </w:p>
    <w:p w14:paraId="364CC808" w14:textId="5CC944CE" w:rsidR="00182FEA" w:rsidRPr="00182FEA" w:rsidRDefault="00182FEA" w:rsidP="00182FEA">
      <w:r w:rsidRPr="00182FEA">
        <w:t xml:space="preserve">Leonard Cheshire Disability &amp; Humanity and Inclusion 2018, </w:t>
      </w:r>
      <w:hyperlink r:id="rId35" w:history="1">
        <w:r w:rsidRPr="00182FEA">
          <w:rPr>
            <w:rStyle w:val="Hyperlink"/>
            <w:i/>
            <w:iCs/>
          </w:rPr>
          <w:t>Disability data collection: A summary review of the use of the Washington Group Questions by development and humanitarian actors</w:t>
        </w:r>
      </w:hyperlink>
      <w:r w:rsidRPr="00182FEA">
        <w:t>, Leonard Cheshire and Humanity &amp; Inclusion, accessed March 14, 2023, from &lt;https://www.humanity-inclusion.org.uk/sn_uploads/document/2018-10-summary-review-wgq-development-humanitarian-actors.pdf&gt;.</w:t>
      </w:r>
    </w:p>
    <w:p w14:paraId="3AA29B92" w14:textId="679828ED" w:rsidR="00182FEA" w:rsidRPr="00182FEA" w:rsidRDefault="00182FEA" w:rsidP="00182FEA">
      <w:r w:rsidRPr="00182FEA">
        <w:t>Robinson, A, Nguyen, L &amp; Smith, F 2021, ‘</w:t>
      </w:r>
      <w:hyperlink r:id="rId36" w:history="1">
        <w:r w:rsidRPr="00182FEA">
          <w:rPr>
            <w:rStyle w:val="Hyperlink"/>
          </w:rPr>
          <w:t>Use of the Washington Group Questions in Non-Government Programming</w:t>
        </w:r>
      </w:hyperlink>
      <w:r w:rsidRPr="00182FEA">
        <w:t xml:space="preserve">’, </w:t>
      </w:r>
      <w:r w:rsidRPr="00182FEA">
        <w:rPr>
          <w:i/>
          <w:iCs/>
        </w:rPr>
        <w:t>International Journal of Environmental Research and Public Health</w:t>
      </w:r>
      <w:r w:rsidRPr="00182FEA">
        <w:t>, vol. 18, no. 21, p. 11143.</w:t>
      </w:r>
    </w:p>
    <w:p w14:paraId="0B370084" w14:textId="5092CE71" w:rsidR="00182FEA" w:rsidRPr="00182FEA" w:rsidRDefault="00182FEA" w:rsidP="00182FEA">
      <w:r w:rsidRPr="00182FEA">
        <w:t xml:space="preserve">World Food Programme &amp; Trinity College Dublin 2022, </w:t>
      </w:r>
      <w:hyperlink r:id="rId37" w:history="1">
        <w:r w:rsidRPr="00182FEA">
          <w:rPr>
            <w:rStyle w:val="Hyperlink"/>
            <w:i/>
            <w:iCs/>
          </w:rPr>
          <w:t>Disability Data: An evidence-informed approach to the use of data for disaggregation in WFP programming</w:t>
        </w:r>
      </w:hyperlink>
      <w:r w:rsidRPr="00182FEA">
        <w:t>, World Food Programme, accessed March 14, 2023, from &lt;https://docs.wfp.org/api/documents/WFP-0000139493/download/&gt;.</w:t>
      </w:r>
    </w:p>
    <w:p w14:paraId="2E71221A" w14:textId="77777777" w:rsidR="00813416" w:rsidRPr="00813416" w:rsidRDefault="00813416" w:rsidP="00813416"/>
    <w:sectPr w:rsidR="00813416" w:rsidRPr="00813416" w:rsidSect="00FD03FE">
      <w:endnotePr>
        <w:numFmt w:val="decimal"/>
      </w:endnotePr>
      <w:pgSz w:w="11906" w:h="16838" w:code="9"/>
      <w:pgMar w:top="907" w:right="907" w:bottom="1134" w:left="90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D575" w14:textId="77777777" w:rsidR="00CA26D9" w:rsidRPr="00901D6F" w:rsidRDefault="00CA26D9" w:rsidP="00A17464">
      <w:pPr>
        <w:spacing w:before="480" w:after="0"/>
        <w:rPr>
          <w:b/>
          <w:bCs/>
          <w:color w:val="FAC41A" w:themeColor="accent1"/>
          <w:sz w:val="32"/>
          <w:szCs w:val="32"/>
        </w:rPr>
      </w:pPr>
      <w:r w:rsidRPr="00901D6F">
        <w:rPr>
          <w:b/>
          <w:bCs/>
          <w:color w:val="FAC41A" w:themeColor="accent1"/>
          <w:sz w:val="32"/>
          <w:szCs w:val="32"/>
        </w:rPr>
        <w:separator/>
      </w:r>
    </w:p>
    <w:p w14:paraId="4D05D39A" w14:textId="77777777" w:rsidR="00CA26D9" w:rsidRPr="00901D6F" w:rsidRDefault="00CA26D9" w:rsidP="00A17464">
      <w:pPr>
        <w:spacing w:after="60"/>
        <w:rPr>
          <w:rFonts w:asciiTheme="majorHAnsi" w:hAnsiTheme="majorHAnsi" w:cstheme="majorHAnsi"/>
          <w:b/>
          <w:bCs/>
          <w:sz w:val="28"/>
          <w:szCs w:val="28"/>
        </w:rPr>
      </w:pPr>
      <w:r>
        <w:rPr>
          <w:rFonts w:asciiTheme="majorHAnsi" w:hAnsiTheme="majorHAnsi" w:cstheme="majorHAnsi"/>
          <w:b/>
          <w:bCs/>
          <w:sz w:val="28"/>
          <w:szCs w:val="28"/>
        </w:rPr>
        <w:t>N</w:t>
      </w:r>
      <w:r w:rsidRPr="00901D6F">
        <w:rPr>
          <w:rFonts w:asciiTheme="majorHAnsi" w:hAnsiTheme="majorHAnsi" w:cstheme="majorHAnsi"/>
          <w:b/>
          <w:bCs/>
          <w:sz w:val="28"/>
          <w:szCs w:val="28"/>
        </w:rPr>
        <w:t>otes</w:t>
      </w:r>
    </w:p>
  </w:endnote>
  <w:endnote w:type="continuationSeparator" w:id="0">
    <w:p w14:paraId="00EAA73F" w14:textId="77777777" w:rsidR="00CA26D9" w:rsidRDefault="00CA26D9" w:rsidP="00245CB0">
      <w:pPr>
        <w:spacing w:after="0"/>
      </w:pPr>
      <w:r>
        <w:continuationSeparator/>
      </w:r>
    </w:p>
  </w:endnote>
  <w:endnote w:type="continuationNotice" w:id="1">
    <w:p w14:paraId="48FD805B" w14:textId="77777777" w:rsidR="00CA26D9" w:rsidRDefault="00CA26D9">
      <w:pPr>
        <w:spacing w:after="0"/>
      </w:pPr>
    </w:p>
  </w:endnote>
  <w:endnote w:id="2">
    <w:p w14:paraId="01FB036E" w14:textId="34072043" w:rsidR="001B56CE" w:rsidRDefault="001B56CE">
      <w:pPr>
        <w:pStyle w:val="EndnoteText"/>
      </w:pPr>
      <w:r>
        <w:rPr>
          <w:rStyle w:val="EndnoteReference"/>
        </w:rPr>
        <w:endnoteRef/>
      </w:r>
      <w:r>
        <w:t xml:space="preserve"> </w:t>
      </w:r>
      <w:r w:rsidR="00410FAC" w:rsidRPr="00410FAC">
        <w:t xml:space="preserve">World Health Organization 2019, </w:t>
      </w:r>
      <w:r w:rsidR="00410FAC" w:rsidRPr="00410FAC">
        <w:rPr>
          <w:i/>
          <w:iCs/>
        </w:rPr>
        <w:t>World Report on Vision</w:t>
      </w:r>
      <w:r w:rsidR="00410FAC" w:rsidRPr="00410FAC">
        <w:t>, World Health Organization, accessed from &lt;</w:t>
      </w:r>
      <w:hyperlink r:id="rId1" w:history="1">
        <w:r w:rsidR="00410FAC" w:rsidRPr="00410FAC">
          <w:rPr>
            <w:rStyle w:val="Hyperlink"/>
          </w:rPr>
          <w:t>https://www.who.int/publications/i/item/9789241516570</w:t>
        </w:r>
      </w:hyperlink>
      <w:r w:rsidR="00410FAC" w:rsidRPr="00410FAC">
        <w:t>&gt;.</w:t>
      </w:r>
    </w:p>
  </w:endnote>
  <w:endnote w:id="3">
    <w:p w14:paraId="666B36F5" w14:textId="52580348" w:rsidR="00685728" w:rsidRDefault="00685728">
      <w:pPr>
        <w:pStyle w:val="EndnoteText"/>
      </w:pPr>
      <w:r>
        <w:rPr>
          <w:rStyle w:val="EndnoteReference"/>
        </w:rPr>
        <w:endnoteRef/>
      </w:r>
      <w:r>
        <w:t xml:space="preserve"> </w:t>
      </w:r>
      <w:r w:rsidRPr="00685728">
        <w:t>McCormick, I, Mactaggart, I, Resnikoff, S, Muirhead, D, Murthy, G, Silva, JC, Bastawrous, A, Stern, J, Blanchet, K, Wang, N, Yusufu, M, Cooper, A, Gichangi, M, Eye Health Indicators Prioritisation Project Group, Burton, MJ &amp; Ramke, J 2022, ‘</w:t>
      </w:r>
      <w:hyperlink r:id="rId2" w:history="1">
        <w:r w:rsidRPr="00685728">
          <w:rPr>
            <w:rStyle w:val="Hyperlink"/>
          </w:rPr>
          <w:t>Eye health indicators for universal health coverage: results of a global expert prioritisation process</w:t>
        </w:r>
      </w:hyperlink>
      <w:r w:rsidRPr="00685728">
        <w:t xml:space="preserve">’, </w:t>
      </w:r>
      <w:r w:rsidRPr="00685728">
        <w:rPr>
          <w:i/>
        </w:rPr>
        <w:t>British Journal of Ophthalmology</w:t>
      </w:r>
      <w:r w:rsidRPr="00685728">
        <w:t>, vol. 106, no. 7, pp. 893–901.</w:t>
      </w:r>
    </w:p>
  </w:endnote>
  <w:endnote w:id="4">
    <w:p w14:paraId="3652D777" w14:textId="6766C717" w:rsidR="003311DF" w:rsidRDefault="003311DF">
      <w:pPr>
        <w:pStyle w:val="EndnoteText"/>
      </w:pPr>
      <w:r>
        <w:rPr>
          <w:rStyle w:val="EndnoteReference"/>
        </w:rPr>
        <w:endnoteRef/>
      </w:r>
      <w:r>
        <w:t xml:space="preserve"> </w:t>
      </w:r>
      <w:r w:rsidRPr="00182FEA">
        <w:t xml:space="preserve">Bush, A, Carroll, A &amp; James, K 2015, </w:t>
      </w:r>
      <w:hyperlink r:id="rId3" w:history="1">
        <w:r w:rsidRPr="00182FEA">
          <w:rPr>
            <w:rStyle w:val="Hyperlink"/>
            <w:i/>
            <w:iCs/>
          </w:rPr>
          <w:t>Practice note : collecting and using data on disability to inform inclusive development</w:t>
        </w:r>
      </w:hyperlink>
      <w:r w:rsidRPr="00182FEA">
        <w:t>, Plan International Australia &amp; CBM Australia-Nossal Institute Partnership for Disability Inclusive Development, accessed from &lt;https://www.did4all.com.au/Resources/Plan-CBM-Nossal_Disability-Data-Collection-Practice-Note_2016Update.pdf&gt;.</w:t>
      </w:r>
    </w:p>
  </w:endnote>
  <w:endnote w:id="5">
    <w:p w14:paraId="3F4FBC49" w14:textId="0263B96D" w:rsidR="00723C25" w:rsidRDefault="00723C25">
      <w:pPr>
        <w:pStyle w:val="EndnoteText"/>
      </w:pPr>
      <w:r>
        <w:rPr>
          <w:rStyle w:val="EndnoteReference"/>
        </w:rPr>
        <w:endnoteRef/>
      </w:r>
      <w:r>
        <w:t xml:space="preserve"> </w:t>
      </w:r>
      <w:r w:rsidRPr="00723C25">
        <w:t xml:space="preserve">World Health Organization 2022, </w:t>
      </w:r>
      <w:hyperlink r:id="rId4" w:history="1">
        <w:r w:rsidRPr="00723C25">
          <w:rPr>
            <w:rStyle w:val="Hyperlink"/>
            <w:i/>
            <w:iCs/>
          </w:rPr>
          <w:t>Global report on health equity for persons with disabilities</w:t>
        </w:r>
      </w:hyperlink>
      <w:r w:rsidRPr="00723C25">
        <w:t xml:space="preserve">, World Health Organization, Geneva, accessed March 14, 2023, from </w:t>
      </w:r>
      <w:r w:rsidR="00270235" w:rsidRPr="00EC4B23">
        <w:t>https://www.who.int/publications/i/item/9789240063600</w:t>
      </w:r>
      <w:r w:rsidR="00270235">
        <w:t>, p. 244</w:t>
      </w:r>
      <w:r w:rsidRPr="00723C25">
        <w:t>.</w:t>
      </w:r>
    </w:p>
  </w:endnote>
  <w:endnote w:id="6">
    <w:p w14:paraId="34F25B6F" w14:textId="2F8588BC" w:rsidR="000D66F9" w:rsidRDefault="000D66F9">
      <w:pPr>
        <w:pStyle w:val="EndnoteText"/>
      </w:pPr>
      <w:r>
        <w:rPr>
          <w:rStyle w:val="EndnoteReference"/>
        </w:rPr>
        <w:endnoteRef/>
      </w:r>
      <w:r>
        <w:t xml:space="preserve"> </w:t>
      </w:r>
      <w:r w:rsidRPr="00723C25">
        <w:t xml:space="preserve">World Health Organization 2022, </w:t>
      </w:r>
      <w:hyperlink r:id="rId5" w:history="1">
        <w:r w:rsidRPr="00723C25">
          <w:rPr>
            <w:rStyle w:val="Hyperlink"/>
            <w:i/>
            <w:iCs/>
          </w:rPr>
          <w:t>Global report on health equity for persons with disabilities</w:t>
        </w:r>
      </w:hyperlink>
      <w:r w:rsidRPr="00723C25">
        <w:t xml:space="preserve">, World Health Organization, Geneva, accessed March 14, 2023, from </w:t>
      </w:r>
      <w:r w:rsidRPr="00EC4B23">
        <w:t>https://www.who.int/publications/i/item/9789240063600</w:t>
      </w:r>
      <w:r>
        <w:t>, p. 96</w:t>
      </w:r>
      <w:r w:rsidRPr="00723C25">
        <w:t>.</w:t>
      </w:r>
    </w:p>
  </w:endnote>
  <w:endnote w:id="7">
    <w:p w14:paraId="1C78A2DB" w14:textId="59FC817F" w:rsidR="00F315B4" w:rsidRDefault="00F315B4">
      <w:pPr>
        <w:pStyle w:val="EndnoteText"/>
      </w:pPr>
      <w:r>
        <w:rPr>
          <w:rStyle w:val="EndnoteReference"/>
        </w:rPr>
        <w:endnoteRef/>
      </w:r>
      <w:r>
        <w:t xml:space="preserve"> Prior to this, Sightsavers has been integrating the WG-SS into RAAB surveys for several years.</w:t>
      </w:r>
    </w:p>
  </w:endnote>
  <w:endnote w:id="8">
    <w:p w14:paraId="124DD560" w14:textId="71CD7CCC" w:rsidR="00345866" w:rsidRDefault="00345866">
      <w:pPr>
        <w:pStyle w:val="EndnoteText"/>
      </w:pPr>
      <w:r>
        <w:rPr>
          <w:rStyle w:val="EndnoteReference"/>
        </w:rPr>
        <w:endnoteRef/>
      </w:r>
      <w:r>
        <w:t xml:space="preserve"> For example, in many countries access </w:t>
      </w:r>
      <w:r w:rsidR="00224B74">
        <w:t xml:space="preserve">to a formal disability determination enabling access to public health or social protection entitlements </w:t>
      </w:r>
      <w:r w:rsidR="00F124D3">
        <w:t>is difficult to obtain or reflects only a narrow range of disabilities.</w:t>
      </w:r>
    </w:p>
  </w:endnote>
  <w:endnote w:id="9">
    <w:p w14:paraId="62F3A9A5" w14:textId="281BA160" w:rsidR="000F5D01" w:rsidRDefault="000F5D01" w:rsidP="00AB196E">
      <w:pPr>
        <w:pStyle w:val="EndnoteText"/>
      </w:pPr>
      <w:r>
        <w:rPr>
          <w:rStyle w:val="EndnoteReference"/>
        </w:rPr>
        <w:endnoteRef/>
      </w:r>
      <w:r>
        <w:t xml:space="preserve"> </w:t>
      </w:r>
      <w:r w:rsidR="00AB196E">
        <w:t xml:space="preserve">Pregel, A, Smith, K and Bridger, K 2019, </w:t>
      </w:r>
      <w:r w:rsidR="00AB196E" w:rsidRPr="00AB196E">
        <w:rPr>
          <w:i/>
          <w:iCs/>
        </w:rPr>
        <w:t>Accessibility standards and audit pack,</w:t>
      </w:r>
      <w:r w:rsidR="00AB196E">
        <w:t xml:space="preserve"> Sightsavers </w:t>
      </w:r>
      <w:r w:rsidR="001761D8">
        <w:t xml:space="preserve">Sightsavers, </w:t>
      </w:r>
      <w:r w:rsidR="00AB196E">
        <w:t>available from</w:t>
      </w:r>
      <w:r w:rsidR="00132043">
        <w:t xml:space="preserve"> the</w:t>
      </w:r>
      <w:r w:rsidR="00840837">
        <w:t xml:space="preserve"> </w:t>
      </w:r>
      <w:hyperlink r:id="rId6" w:history="1">
        <w:r w:rsidR="00840837" w:rsidRPr="00132043">
          <w:rPr>
            <w:rStyle w:val="Hyperlink"/>
          </w:rPr>
          <w:t>Sightsavers website</w:t>
        </w:r>
      </w:hyperlink>
      <w:r w:rsidR="00A42B99">
        <w:t>,</w:t>
      </w:r>
      <w:r w:rsidR="001761D8">
        <w:t xml:space="preserve"> </w:t>
      </w:r>
      <w:r w:rsidR="001761D8" w:rsidRPr="001761D8">
        <w:t>https://www.sightsavers.org/disability/health/accessibility-standards/</w:t>
      </w:r>
    </w:p>
  </w:endnote>
  <w:endnote w:id="10">
    <w:p w14:paraId="6D377CF9" w14:textId="465F49D6" w:rsidR="00A42B99" w:rsidRDefault="00A42B99">
      <w:pPr>
        <w:pStyle w:val="EndnoteText"/>
      </w:pPr>
      <w:r>
        <w:rPr>
          <w:rStyle w:val="EndnoteReference"/>
        </w:rPr>
        <w:endnoteRef/>
      </w:r>
      <w:r>
        <w:t xml:space="preserve"> </w:t>
      </w:r>
      <w:r w:rsidR="002A515A" w:rsidRPr="002A515A">
        <w:t>Hanass-Hancock, J, Willan, S, Carpenter, B, Tesfay, N, &amp; Dunkle, K 2023</w:t>
      </w:r>
      <w:r w:rsidR="00132043">
        <w:t>,</w:t>
      </w:r>
      <w:r w:rsidR="002A515A" w:rsidRPr="002A515A">
        <w:t xml:space="preserve"> </w:t>
      </w:r>
      <w:r w:rsidR="002A515A" w:rsidRPr="00132043">
        <w:rPr>
          <w:i/>
          <w:iCs/>
        </w:rPr>
        <w:t>Disability awareness checklist for health care services</w:t>
      </w:r>
      <w:r w:rsidR="00132043" w:rsidRPr="00132043">
        <w:rPr>
          <w:i/>
          <w:iCs/>
        </w:rPr>
        <w:t>,</w:t>
      </w:r>
      <w:r w:rsidR="00132043">
        <w:t xml:space="preserve"> available from the </w:t>
      </w:r>
      <w:hyperlink r:id="rId7" w:history="1">
        <w:r w:rsidR="00AF16D7" w:rsidRPr="00AF16D7">
          <w:rPr>
            <w:rStyle w:val="Hyperlink"/>
          </w:rPr>
          <w:t>South African Medical Research Council website</w:t>
        </w:r>
      </w:hyperlink>
      <w:r w:rsidR="00AF16D7">
        <w:t xml:space="preserve">, </w:t>
      </w:r>
      <w:r w:rsidR="00AF16D7" w:rsidRPr="00AF16D7">
        <w:t>https://www.samrc.ac.za/intramural-research-units/testing-gbv-quality-assurance-tool</w:t>
      </w:r>
    </w:p>
  </w:endnote>
  <w:endnote w:id="11">
    <w:p w14:paraId="1EF9407D" w14:textId="4E9EC085" w:rsidR="00002C7C" w:rsidRDefault="00002C7C">
      <w:pPr>
        <w:pStyle w:val="EndnoteText"/>
      </w:pPr>
      <w:r>
        <w:rPr>
          <w:rStyle w:val="EndnoteReference"/>
        </w:rPr>
        <w:endnoteRef/>
      </w:r>
      <w:r>
        <w:t xml:space="preserve"> </w:t>
      </w:r>
      <w:r w:rsidRPr="00723C25">
        <w:t xml:space="preserve">World Health Organization 2022, </w:t>
      </w:r>
      <w:hyperlink r:id="rId8" w:history="1">
        <w:r w:rsidRPr="00723C25">
          <w:rPr>
            <w:rStyle w:val="Hyperlink"/>
            <w:i/>
            <w:iCs/>
          </w:rPr>
          <w:t>Global report on health equity for persons with disabilities</w:t>
        </w:r>
      </w:hyperlink>
      <w:r w:rsidRPr="00723C25">
        <w:t xml:space="preserve">, World Health Organization, Geneva, accessed March 14, 2023, from </w:t>
      </w:r>
      <w:r w:rsidRPr="00EC4B23">
        <w:t>https://www.who.int/publications/i/item/9789240063600</w:t>
      </w:r>
      <w:r>
        <w:t>, p. 244</w:t>
      </w:r>
      <w:r w:rsidRPr="00723C25">
        <w:t>.</w:t>
      </w:r>
    </w:p>
  </w:endnote>
  <w:endnote w:id="12">
    <w:p w14:paraId="2788D08B" w14:textId="5D5ECF7A" w:rsidR="00CE3FB9" w:rsidRDefault="00CE3FB9" w:rsidP="00CE3FB9">
      <w:pPr>
        <w:pStyle w:val="EndnoteText"/>
      </w:pPr>
      <w:r>
        <w:rPr>
          <w:rStyle w:val="EndnoteReference"/>
        </w:rPr>
        <w:endnoteRef/>
      </w:r>
      <w:r>
        <w:t xml:space="preserve"> </w:t>
      </w:r>
      <w:r w:rsidR="00CF3915">
        <w:t xml:space="preserve">Other question sets </w:t>
      </w:r>
      <w:r w:rsidR="00D35B8B">
        <w:t xml:space="preserve">based on a functional approach that are </w:t>
      </w:r>
      <w:r w:rsidR="00CF3915">
        <w:t xml:space="preserve">used in other context, but not reported in the eye health literature or key informant interviews, include: the </w:t>
      </w:r>
      <w:r>
        <w:t>Global Activity Limitation Indicator (GALI) (1 question)</w:t>
      </w:r>
      <w:r w:rsidR="00D87959">
        <w:t>, which</w:t>
      </w:r>
      <w:r>
        <w:t xml:space="preserve"> comprises a single question about limitations in normal activities due to a health problem, and is used in health surveys primarily in Europe and the UK</w:t>
      </w:r>
      <w:r w:rsidR="00D87959">
        <w:t>; and various q</w:t>
      </w:r>
      <w:r>
        <w:t>uestion sets developed by the World Health Organization for use in health and disability surveys</w:t>
      </w:r>
      <w:r w:rsidR="00D35B8B">
        <w:t xml:space="preserve">, including </w:t>
      </w:r>
      <w:r>
        <w:t>the Disability Assessment Schedule (WHODAS 2.0 – 36 questions) and Functioning and Disability Disaggregation Tool (FDD11 – 11 questions).</w:t>
      </w:r>
    </w:p>
  </w:endnote>
  <w:endnote w:id="13">
    <w:p w14:paraId="6F41E69E" w14:textId="2082256A" w:rsidR="0025501E" w:rsidRDefault="0025501E">
      <w:pPr>
        <w:pStyle w:val="EndnoteText"/>
      </w:pPr>
      <w:r>
        <w:rPr>
          <w:rStyle w:val="EndnoteReference"/>
        </w:rPr>
        <w:endnoteRef/>
      </w:r>
      <w:r>
        <w:t xml:space="preserve"> </w:t>
      </w:r>
      <w:r w:rsidRPr="0025501E">
        <w:t>Bush, A 2017, Disability Inclusive Eye Health Review: A review of lessons learned from CBM’s experience implementing inclusive eye health programs in six countries from 2011 to 2017, CBM Australia [unpublished report</w:t>
      </w:r>
      <w:r w:rsidR="004B5F5B">
        <w:t>].</w:t>
      </w:r>
    </w:p>
  </w:endnote>
  <w:endnote w:id="14">
    <w:p w14:paraId="27D613C9" w14:textId="77777777" w:rsidR="0034353D" w:rsidRPr="002A5623" w:rsidRDefault="0034353D" w:rsidP="0034353D">
      <w:pPr>
        <w:pStyle w:val="EndnoteText"/>
        <w:rPr>
          <w:b/>
          <w:iCs/>
        </w:rPr>
      </w:pPr>
      <w:r>
        <w:rPr>
          <w:rStyle w:val="EndnoteReference"/>
        </w:rPr>
        <w:endnoteRef/>
      </w:r>
      <w:r>
        <w:t xml:space="preserve"> </w:t>
      </w:r>
      <w:r w:rsidRPr="002A5623">
        <w:t>Boggs, D, Kuper, H, Mactaggart, I, Bright, T, Murthy, G, Hydara, A, McCormick, I, Tamblay, N, Alvarez, ML, Atijosan-Ayodele, O, Yonso, H, Foster, A &amp; Polack, S 2022, ‘</w:t>
      </w:r>
      <w:hyperlink r:id="rId9" w:history="1">
        <w:r w:rsidRPr="002A5623">
          <w:rPr>
            <w:rStyle w:val="Hyperlink"/>
          </w:rPr>
          <w:t>Exploring the Use of Washington Group Questions to Identify People with Clinical Impairments Who Need Services including Assistive Products: Results from Five Population-Based Surveys</w:t>
        </w:r>
      </w:hyperlink>
      <w:r w:rsidRPr="002A5623">
        <w:t>’, International Journal of Environmental Research and Public Health, vol. 19, no. 7, p. 4304.</w:t>
      </w:r>
    </w:p>
  </w:endnote>
  <w:endnote w:id="15">
    <w:p w14:paraId="7CC60654" w14:textId="77777777" w:rsidR="000C63E4" w:rsidRDefault="000C63E4" w:rsidP="000C63E4">
      <w:pPr>
        <w:pStyle w:val="EndnoteText"/>
      </w:pPr>
      <w:r>
        <w:rPr>
          <w:rStyle w:val="EndnoteReference"/>
        </w:rPr>
        <w:endnoteRef/>
      </w:r>
      <w:r>
        <w:t xml:space="preserve"> As mentioned above, there is now clear evidence showing the link between vision impairment and other non-visual disabilities. As this evidence grows and is disseminated, the need to explain and justify this link may diminish.</w:t>
      </w:r>
    </w:p>
  </w:endnote>
  <w:endnote w:id="16">
    <w:p w14:paraId="53EDC936" w14:textId="77777777" w:rsidR="000C63E4" w:rsidRDefault="000C63E4" w:rsidP="000C63E4">
      <w:pPr>
        <w:pStyle w:val="EndnoteText"/>
      </w:pPr>
      <w:r>
        <w:rPr>
          <w:rStyle w:val="EndnoteReference"/>
        </w:rPr>
        <w:endnoteRef/>
      </w:r>
      <w:r>
        <w:t xml:space="preserve"> For accuracy, this variable may be titled ‘with disability (other than visual)’ or similar. It is also possible to create two variables: one including the vision domain and one excluding it. This has been done in some studies to enable validation of the WG-SS methodology, and it could allow comparison to other reported data where the underlying dataset is not available or has only been analysed with all domains included. </w:t>
      </w:r>
    </w:p>
  </w:endnote>
  <w:endnote w:id="17">
    <w:p w14:paraId="1DBFC3FB" w14:textId="30DA794F" w:rsidR="00422237" w:rsidRDefault="00422237">
      <w:pPr>
        <w:pStyle w:val="EndnoteText"/>
      </w:pPr>
      <w:r>
        <w:rPr>
          <w:rStyle w:val="EndnoteReference"/>
        </w:rPr>
        <w:endnoteRef/>
      </w:r>
      <w:r>
        <w:t xml:space="preserve"> </w:t>
      </w:r>
      <w:r w:rsidRPr="00422237">
        <w:t xml:space="preserve">World Health Organization 2022, </w:t>
      </w:r>
      <w:hyperlink r:id="rId10" w:history="1">
        <w:r w:rsidRPr="00422237">
          <w:rPr>
            <w:rStyle w:val="Hyperlink"/>
            <w:i/>
            <w:iCs/>
          </w:rPr>
          <w:t>Global report on health equity for persons with disabilities</w:t>
        </w:r>
      </w:hyperlink>
      <w:r w:rsidRPr="00422237">
        <w:t>, World Health Organization, Geneva, accessed March 14, 2023, from &lt;https://www.who.int/publications/i/item/9789240063600&gt;.</w:t>
      </w:r>
    </w:p>
  </w:endnote>
  <w:endnote w:id="18">
    <w:p w14:paraId="3DB50B93" w14:textId="4E39D8B2" w:rsidR="00647D88" w:rsidRDefault="00647D88">
      <w:pPr>
        <w:pStyle w:val="EndnoteText"/>
      </w:pPr>
      <w:r>
        <w:rPr>
          <w:rStyle w:val="EndnoteReference"/>
        </w:rPr>
        <w:endnoteRef/>
      </w:r>
      <w:r>
        <w:t xml:space="preserve"> For example: </w:t>
      </w:r>
      <w:r w:rsidRPr="00422237">
        <w:t xml:space="preserve">World Health Organization 2022, </w:t>
      </w:r>
      <w:hyperlink r:id="rId11" w:history="1">
        <w:r w:rsidRPr="00422237">
          <w:rPr>
            <w:rStyle w:val="Hyperlink"/>
            <w:i/>
            <w:iCs/>
          </w:rPr>
          <w:t>Global report on health equity for persons with disabilities</w:t>
        </w:r>
      </w:hyperlink>
      <w:r w:rsidRPr="00422237">
        <w:t>, World Health Organization, Geneva, accessed March 14, 2023, from &lt;https://www.who.int/publications/i/item/9789240063600&gt;</w:t>
      </w:r>
      <w:r>
        <w:t>;</w:t>
      </w:r>
      <w:r w:rsidR="002446FE">
        <w:t xml:space="preserve"> </w:t>
      </w:r>
      <w:r w:rsidR="002446FE" w:rsidRPr="002446FE">
        <w:t xml:space="preserve">World Health Organization. Regional Office for the Western Pacific 2020, </w:t>
      </w:r>
      <w:hyperlink r:id="rId12" w:history="1">
        <w:r w:rsidR="002446FE" w:rsidRPr="002446FE">
          <w:rPr>
            <w:rStyle w:val="Hyperlink"/>
            <w:i/>
            <w:iCs/>
          </w:rPr>
          <w:t>Disability-inclusive health services toolkit : a resource for health facilities in the Western Pacific Region</w:t>
        </w:r>
      </w:hyperlink>
      <w:r w:rsidR="002446FE" w:rsidRPr="002446FE">
        <w:t>, WHO Regional Office for the Western Pacific, accessed March 16, 2023, from &lt;https://apps.who.int/iris/handle/10665/336857&gt;</w:t>
      </w:r>
      <w:r w:rsidR="002446FE">
        <w:t xml:space="preserve">; </w:t>
      </w:r>
      <w:r w:rsidR="002446FE" w:rsidRPr="002446FE">
        <w:t xml:space="preserve">UNICEF 2022, </w:t>
      </w:r>
      <w:hyperlink r:id="rId13" w:history="1">
        <w:r w:rsidR="002446FE" w:rsidRPr="002446FE">
          <w:rPr>
            <w:rStyle w:val="Hyperlink"/>
            <w:i/>
            <w:iCs/>
          </w:rPr>
          <w:t>Inclusion of Children and Young People with Diasbilities in Routine General Health Care : Practice Guide</w:t>
        </w:r>
      </w:hyperlink>
      <w:r w:rsidR="002446FE" w:rsidRPr="002446FE">
        <w:t>, UNICEF, accessed March 16, 2023, from &lt;https://www.unicef.org/media/127496/file/Disability_Inclusion_in_Routine_General_Health_Care_Practice_Guide_2022.pdf&gt;.</w:t>
      </w:r>
    </w:p>
  </w:endnote>
  <w:endnote w:id="19">
    <w:p w14:paraId="13E260E5" w14:textId="422F6543" w:rsidR="006D0CF6" w:rsidRDefault="006D0CF6">
      <w:pPr>
        <w:pStyle w:val="EndnoteText"/>
      </w:pPr>
      <w:r>
        <w:rPr>
          <w:rStyle w:val="EndnoteReference"/>
        </w:rPr>
        <w:endnoteRef/>
      </w:r>
      <w:r>
        <w:t xml:space="preserve"> </w:t>
      </w:r>
      <w:r w:rsidRPr="006D0CF6">
        <w:t xml:space="preserve">SightSavers 2016, </w:t>
      </w:r>
      <w:hyperlink r:id="rId14" w:history="1">
        <w:r w:rsidRPr="006D0CF6">
          <w:rPr>
            <w:rStyle w:val="Hyperlink"/>
            <w:i/>
          </w:rPr>
          <w:t>Everybody Counts: Disability Disaggregation of Data Pilot Projects in India and Tanzania – Final Evaluation Report</w:t>
        </w:r>
      </w:hyperlink>
      <w:r w:rsidRPr="006D0CF6">
        <w:t>, SightSavers, accessed March 14, 2023, from &lt;https://www.sightsavers.org/wp-content/uploads/2017/09/everybodycounts_brochure_accessible_web.pdf&gt;</w:t>
      </w:r>
      <w:r>
        <w:t>, p. 70.</w:t>
      </w:r>
    </w:p>
  </w:endnote>
  <w:endnote w:id="20">
    <w:p w14:paraId="149297B6" w14:textId="77777777" w:rsidR="00092DAF" w:rsidRDefault="00092DAF" w:rsidP="00092DAF">
      <w:pPr>
        <w:pStyle w:val="EndnoteText"/>
      </w:pPr>
      <w:r>
        <w:rPr>
          <w:rStyle w:val="EndnoteReference"/>
        </w:rPr>
        <w:endnoteRef/>
      </w:r>
      <w:r>
        <w:t xml:space="preserve"> </w:t>
      </w:r>
      <w:r w:rsidRPr="000D6472">
        <w:t>Robinson, A, Nguyen, L &amp; Smith, F 2021, ‘</w:t>
      </w:r>
      <w:hyperlink r:id="rId15" w:history="1">
        <w:r w:rsidRPr="000D6472">
          <w:rPr>
            <w:rStyle w:val="Hyperlink"/>
          </w:rPr>
          <w:t>Use of the Washington Group Questions in Non-Government Programming</w:t>
        </w:r>
      </w:hyperlink>
      <w:r w:rsidRPr="000D6472">
        <w:t xml:space="preserve">’, </w:t>
      </w:r>
      <w:r w:rsidRPr="000D6472">
        <w:rPr>
          <w:i/>
          <w:iCs/>
        </w:rPr>
        <w:t>International Journal of Environmental Research and Public Health</w:t>
      </w:r>
      <w:r w:rsidRPr="000D6472">
        <w:t>, vol. 18, no. 21, p. 11143.</w:t>
      </w:r>
    </w:p>
  </w:endnote>
  <w:endnote w:id="21">
    <w:p w14:paraId="58B06F11" w14:textId="5A635B59" w:rsidR="00533997" w:rsidRDefault="00533997">
      <w:pPr>
        <w:pStyle w:val="EndnoteText"/>
      </w:pPr>
      <w:r>
        <w:rPr>
          <w:rStyle w:val="EndnoteReference"/>
        </w:rPr>
        <w:endnoteRef/>
      </w:r>
      <w:r>
        <w:t xml:space="preserve"> For example, see </w:t>
      </w:r>
      <w:r w:rsidRPr="00533997">
        <w:t>Robinson A, Nguyen L and Smith F (2021) ‘</w:t>
      </w:r>
      <w:hyperlink r:id="rId16" w:history="1">
        <w:r w:rsidRPr="00E169FC">
          <w:rPr>
            <w:rStyle w:val="Hyperlink"/>
          </w:rPr>
          <w:t>Use of the Washington Group Questions in Non-Government Programming</w:t>
        </w:r>
      </w:hyperlink>
      <w:r w:rsidRPr="00533997">
        <w:t xml:space="preserve">’, </w:t>
      </w:r>
      <w:r w:rsidRPr="00533997">
        <w:rPr>
          <w:i/>
          <w:iCs/>
        </w:rPr>
        <w:t>International Journal of Environmental Research and Public Health</w:t>
      </w:r>
      <w:r w:rsidRPr="00533997">
        <w:t>, 18(21):11143.</w:t>
      </w:r>
    </w:p>
  </w:endnote>
  <w:endnote w:id="22">
    <w:p w14:paraId="3CD241D7" w14:textId="75565DD0" w:rsidR="00E04A9E" w:rsidRDefault="00E04A9E">
      <w:pPr>
        <w:pStyle w:val="EndnoteText"/>
      </w:pPr>
      <w:r>
        <w:rPr>
          <w:rStyle w:val="EndnoteReference"/>
        </w:rPr>
        <w:endnoteRef/>
      </w:r>
      <w:r>
        <w:t xml:space="preserve"> </w:t>
      </w:r>
      <w:r w:rsidRPr="00E04A9E">
        <w:t xml:space="preserve">World Food Programme and Trinity College Dublin (2022) </w:t>
      </w:r>
      <w:hyperlink r:id="rId17" w:history="1">
        <w:r w:rsidRPr="00E04A9E">
          <w:rPr>
            <w:rStyle w:val="Hyperlink"/>
            <w:i/>
            <w:iCs/>
          </w:rPr>
          <w:t>Disability Data: An evidence-informed approach to the use of data for disaggregation in WFP programming</w:t>
        </w:r>
      </w:hyperlink>
      <w:r w:rsidRPr="00E04A9E">
        <w:t>, World Food Programme, https://docs.wfp.org/api/documents/WFP-0000139493/download/, accessed 14 March 2023.</w:t>
      </w:r>
    </w:p>
  </w:endnote>
  <w:endnote w:id="23">
    <w:p w14:paraId="5ADC9CD3" w14:textId="68225276" w:rsidR="00AA2AA5" w:rsidRPr="00AA2AA5" w:rsidRDefault="00AA2AA5" w:rsidP="00AA2AA5">
      <w:pPr>
        <w:pStyle w:val="EndnoteText"/>
      </w:pPr>
      <w:r>
        <w:rPr>
          <w:rStyle w:val="EndnoteReference"/>
        </w:rPr>
        <w:endnoteRef/>
      </w:r>
      <w:r>
        <w:t xml:space="preserve"> For example, see: </w:t>
      </w:r>
      <w:r w:rsidRPr="00AA2AA5">
        <w:t xml:space="preserve">CBM-Nossal Institute Partnership for Disability Inclusive Development and Research for Development Impact Network (2020) </w:t>
      </w:r>
      <w:hyperlink r:id="rId18" w:history="1">
        <w:r w:rsidRPr="00AA2AA5">
          <w:rPr>
            <w:rStyle w:val="Hyperlink"/>
            <w:i/>
            <w:iCs/>
          </w:rPr>
          <w:t>Research for all: Making Development Research Inclusive of People with Disabilities</w:t>
        </w:r>
      </w:hyperlink>
      <w:r w:rsidRPr="00AA2AA5">
        <w:t xml:space="preserve">, RDI Network, https://rdinetwork.org.au/wp-content/uploads/2020/06/RDI-Network-R4All-Accessible-PDF-1.pdf, accessed 19 </w:t>
      </w:r>
      <w:r>
        <w:t>March</w:t>
      </w:r>
      <w:r w:rsidRPr="00AA2AA5">
        <w:t xml:space="preserve"> 2023</w:t>
      </w:r>
      <w:r w:rsidR="008729AE">
        <w:t>, Section 2.</w:t>
      </w:r>
    </w:p>
    <w:p w14:paraId="6B178124" w14:textId="5C792C82" w:rsidR="00AA2AA5" w:rsidRDefault="00AA2AA5">
      <w:pPr>
        <w:pStyle w:val="EndnoteText"/>
      </w:pPr>
    </w:p>
  </w:endnote>
  <w:endnote w:id="24">
    <w:p w14:paraId="070C29CF" w14:textId="6EC2920B" w:rsidR="003505D2" w:rsidRPr="003505D2" w:rsidRDefault="003505D2" w:rsidP="003505D2">
      <w:pPr>
        <w:pStyle w:val="EndnoteText"/>
      </w:pPr>
      <w:r>
        <w:rPr>
          <w:rStyle w:val="EndnoteReference"/>
        </w:rPr>
        <w:endnoteRef/>
      </w:r>
      <w:r>
        <w:t xml:space="preserve"> </w:t>
      </w:r>
      <w:r w:rsidR="00370FEE">
        <w:t xml:space="preserve">A related academic paper is available online </w:t>
      </w:r>
      <w:r>
        <w:t xml:space="preserve">as </w:t>
      </w:r>
      <w:r w:rsidRPr="003505D2">
        <w:t>Mörchen, M, Bush, A, Kiel, P, Lewis, D &amp; Qureshi, B 2018, ‘</w:t>
      </w:r>
      <w:hyperlink r:id="rId19" w:history="1">
        <w:r w:rsidRPr="003505D2">
          <w:rPr>
            <w:rStyle w:val="Hyperlink"/>
          </w:rPr>
          <w:t>Leaving No One Behind: Strengthening Access to Eye Health Programs for People With Disabilities in 6 Low- and Middle-Income Countries</w:t>
        </w:r>
      </w:hyperlink>
      <w:r w:rsidRPr="003505D2">
        <w:t xml:space="preserve">’, </w:t>
      </w:r>
      <w:r w:rsidRPr="003505D2">
        <w:rPr>
          <w:i/>
          <w:iCs/>
        </w:rPr>
        <w:t>Asia-Pacific journal of ophthalmology (Philadelphia, Pa.)</w:t>
      </w:r>
      <w:r w:rsidRPr="003505D2">
        <w:t>, vol. 7, no. 5, pp. 331–338.</w:t>
      </w:r>
    </w:p>
    <w:p w14:paraId="039B09A4" w14:textId="78AC9E59" w:rsidR="003505D2" w:rsidRDefault="003505D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BE4" w14:textId="77777777" w:rsidR="00285922" w:rsidRPr="00285922" w:rsidRDefault="00285922" w:rsidP="00285922">
    <w:pPr>
      <w:pStyle w:val="Footer"/>
    </w:pPr>
    <w:r w:rsidRPr="00285922">
      <w:ptab w:relativeTo="margin" w:alignment="center" w:leader="none"/>
    </w:r>
    <w:r w:rsidRPr="00285922">
      <w:ptab w:relativeTo="margin" w:alignment="right" w:leader="none"/>
    </w:r>
    <w:r w:rsidRPr="00285922">
      <w:fldChar w:fldCharType="begin"/>
    </w:r>
    <w:r w:rsidRPr="00285922">
      <w:instrText xml:space="preserve"> PAGE   \* MERGEFORMAT </w:instrText>
    </w:r>
    <w:r w:rsidRPr="00285922">
      <w:fldChar w:fldCharType="separate"/>
    </w:r>
    <w:r w:rsidRPr="00285922">
      <w:t>1</w:t>
    </w:r>
    <w:r w:rsidRPr="002859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A50" w14:textId="3F27FE9C" w:rsidR="00302DC3" w:rsidRPr="002660B2" w:rsidRDefault="00E81535" w:rsidP="00E81535">
    <w:pPr>
      <w:pStyle w:val="Footer"/>
      <w:pBdr>
        <w:top w:val="none" w:sz="0" w:space="0" w:color="auto"/>
      </w:pBdr>
      <w:spacing w:before="3120" w:after="160"/>
    </w:pPr>
    <w:r>
      <w:rPr>
        <w:noProof/>
      </w:rPr>
      <w:t xml:space="preserve">   </w:t>
    </w:r>
    <w:r w:rsidR="00B70A1C">
      <w:rPr>
        <w:noProof/>
      </w:rPr>
      <w:drawing>
        <wp:inline distT="0" distB="0" distL="0" distR="0" wp14:anchorId="494A2382" wp14:editId="43F50ECD">
          <wp:extent cx="1270390" cy="576000"/>
          <wp:effectExtent l="0" t="0" r="6350" b="0"/>
          <wp:docPr id="42403833" name="Picture 1" descr="Logo - 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3833" name="Picture 1" descr="Logo - Australian 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390" cy="576000"/>
                  </a:xfrm>
                  <a:prstGeom prst="rect">
                    <a:avLst/>
                  </a:prstGeom>
                  <a:noFill/>
                  <a:ln>
                    <a:noFill/>
                  </a:ln>
                </pic:spPr>
              </pic:pic>
            </a:graphicData>
          </a:graphic>
        </wp:inline>
      </w:drawing>
    </w:r>
    <w:r>
      <w:rPr>
        <w:noProof/>
      </w:rPr>
      <w:t xml:space="preserve"> </w:t>
    </w:r>
    <w:r w:rsidR="00B70A1C">
      <w:rPr>
        <w:noProof/>
      </w:rPr>
      <w:t xml:space="preserve"> </w:t>
    </w:r>
    <w:r>
      <w:rPr>
        <w:noProof/>
      </w:rPr>
      <w:t xml:space="preserve"> </w:t>
    </w:r>
    <w:r w:rsidR="00E20ACE">
      <w:rPr>
        <w:noProof/>
      </w:rPr>
      <w:t xml:space="preserve"> </w:t>
    </w:r>
    <w:r w:rsidR="00B70A1C">
      <w:rPr>
        <w:noProof/>
      </w:rPr>
      <w:t xml:space="preserve"> </w:t>
    </w:r>
    <w:r w:rsidR="00E20ACE">
      <w:rPr>
        <w:noProof/>
      </w:rPr>
      <w:t xml:space="preserve"> </w:t>
    </w:r>
    <w:r w:rsidR="00B70A1C">
      <w:rPr>
        <w:noProof/>
      </w:rPr>
      <w:t xml:space="preserve"> </w:t>
    </w:r>
    <w:r>
      <w:rPr>
        <w:noProof/>
      </w:rPr>
      <w:drawing>
        <wp:inline distT="0" distB="0" distL="0" distR="0" wp14:anchorId="1BC700CD" wp14:editId="53AEE814">
          <wp:extent cx="2200275" cy="503135"/>
          <wp:effectExtent l="0" t="0" r="0" b="0"/>
          <wp:docPr id="1382947303" name="Picture 2" descr="Logo - The Fred Hollows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47303" name="Picture 2" descr="Logo - The Fred Hollows Found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137" cy="508134"/>
                  </a:xfrm>
                  <a:prstGeom prst="rect">
                    <a:avLst/>
                  </a:prstGeom>
                  <a:noFill/>
                  <a:ln>
                    <a:noFill/>
                  </a:ln>
                </pic:spPr>
              </pic:pic>
            </a:graphicData>
          </a:graphic>
        </wp:inline>
      </w:drawing>
    </w:r>
    <w:r>
      <w:rPr>
        <w:noProof/>
      </w:rPr>
      <w:t xml:space="preserve">  </w:t>
    </w:r>
    <w:r w:rsidR="00E20ACE">
      <w:rPr>
        <w:noProof/>
      </w:rPr>
      <w:t xml:space="preserve"> </w:t>
    </w:r>
    <w:r w:rsidR="00B70A1C">
      <w:rPr>
        <w:noProof/>
      </w:rPr>
      <w:t xml:space="preserve"> </w:t>
    </w:r>
    <w:r w:rsidR="00E20ACE">
      <w:rPr>
        <w:noProof/>
      </w:rPr>
      <w:t xml:space="preserve"> </w:t>
    </w:r>
    <w:r w:rsidR="00B70A1C">
      <w:rPr>
        <w:noProof/>
      </w:rPr>
      <w:t xml:space="preserve"> </w:t>
    </w:r>
    <w:r>
      <w:rPr>
        <w:noProof/>
      </w:rPr>
      <w:t xml:space="preserve">   </w:t>
    </w:r>
    <w:r w:rsidR="002660B2">
      <w:rPr>
        <w:noProof/>
      </w:rPr>
      <w:drawing>
        <wp:inline distT="0" distB="0" distL="0" distR="0" wp14:anchorId="0E27D861" wp14:editId="7DE14047">
          <wp:extent cx="1666889" cy="684000"/>
          <wp:effectExtent l="0" t="0" r="0" b="1905"/>
          <wp:docPr id="3" name="Graphic 3" descr="Logo - CBM Global Inclusion Advisor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 - CBM Global Inclusion Advisory Group"/>
                  <pic:cNvPicPr/>
                </pic:nvPicPr>
                <pic:blipFill>
                  <a:blip r:embed="rId3">
                    <a:extLst>
                      <a:ext uri="{96DAC541-7B7A-43D3-8B79-37D633B846F1}">
                        <asvg:svgBlip xmlns:asvg="http://schemas.microsoft.com/office/drawing/2016/SVG/main" r:embed="rId4"/>
                      </a:ext>
                    </a:extLst>
                  </a:blip>
                  <a:stretch>
                    <a:fillRect/>
                  </a:stretch>
                </pic:blipFill>
                <pic:spPr>
                  <a:xfrm>
                    <a:off x="0" y="0"/>
                    <a:ext cx="1666889" cy="68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F47E" w14:textId="77777777" w:rsidR="00CA26D9" w:rsidRPr="004F72C4" w:rsidRDefault="00CA26D9" w:rsidP="004F72C4">
      <w:pPr>
        <w:spacing w:before="480" w:after="0"/>
        <w:rPr>
          <w:b/>
          <w:bCs/>
          <w:color w:val="FAC41A" w:themeColor="accent1"/>
          <w:sz w:val="32"/>
          <w:szCs w:val="32"/>
        </w:rPr>
      </w:pPr>
      <w:r w:rsidRPr="00901D6F">
        <w:rPr>
          <w:b/>
          <w:bCs/>
          <w:color w:val="FAC41A" w:themeColor="accent1"/>
          <w:sz w:val="32"/>
          <w:szCs w:val="32"/>
        </w:rPr>
        <w:separator/>
      </w:r>
    </w:p>
  </w:footnote>
  <w:footnote w:type="continuationSeparator" w:id="0">
    <w:p w14:paraId="3526C7E2" w14:textId="77777777" w:rsidR="00CA26D9" w:rsidRDefault="00CA26D9" w:rsidP="00245CB0">
      <w:pPr>
        <w:spacing w:after="0"/>
      </w:pPr>
      <w:r>
        <w:continuationSeparator/>
      </w:r>
    </w:p>
  </w:footnote>
  <w:footnote w:type="continuationNotice" w:id="1">
    <w:p w14:paraId="3B6F3A3D" w14:textId="77777777" w:rsidR="00CA26D9" w:rsidRDefault="00CA26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8046" w14:textId="77777777" w:rsidR="00B337E5" w:rsidRDefault="00B33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6909" w14:textId="77777777" w:rsidR="00285922" w:rsidRDefault="002660B2" w:rsidP="002660B2">
    <w:pPr>
      <w:pStyle w:val="Header"/>
      <w:spacing w:after="5280"/>
      <w:ind w:left="-907" w:right="-907"/>
    </w:pPr>
    <w:r>
      <w:rPr>
        <w:noProof/>
      </w:rPr>
      <w:drawing>
        <wp:anchor distT="0" distB="0" distL="114300" distR="114300" simplePos="0" relativeHeight="251658240" behindDoc="1" locked="0" layoutInCell="1" allowOverlap="1" wp14:anchorId="35E92A55" wp14:editId="6E8CF5E3">
          <wp:simplePos x="0" y="0"/>
          <wp:positionH relativeFrom="page">
            <wp:posOffset>0</wp:posOffset>
          </wp:positionH>
          <wp:positionV relativeFrom="page">
            <wp:posOffset>0</wp:posOffset>
          </wp:positionV>
          <wp:extent cx="7560000" cy="9172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172800"/>
                  </a:xfrm>
                  <a:prstGeom prst="rect">
                    <a:avLst/>
                  </a:prstGeom>
                  <a:noFill/>
                  <a:ln>
                    <a:noFill/>
                  </a:ln>
                </pic:spPr>
              </pic:pic>
            </a:graphicData>
          </a:graphic>
          <wp14:sizeRelH relativeFrom="page">
            <wp14:pctWidth>0</wp14:pctWidth>
          </wp14:sizeRelH>
          <wp14:sizeRelV relativeFrom="page">
            <wp14:pctHeight>0</wp14:pctHeight>
          </wp14:sizeRelV>
        </wp:anchor>
      </w:drawing>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22C"/>
    <w:multiLevelType w:val="hybridMultilevel"/>
    <w:tmpl w:val="C11E4CE0"/>
    <w:lvl w:ilvl="0" w:tplc="1D8CE3D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423B5"/>
    <w:multiLevelType w:val="multilevel"/>
    <w:tmpl w:val="74148B1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2" w15:restartNumberingAfterBreak="0">
    <w:nsid w:val="18EE24C4"/>
    <w:multiLevelType w:val="hybridMultilevel"/>
    <w:tmpl w:val="DACC543C"/>
    <w:lvl w:ilvl="0" w:tplc="551CA59C">
      <w:start w:val="1"/>
      <w:numFmt w:val="decimal"/>
      <w:pStyle w:val="Numberedlist"/>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ED7631"/>
    <w:multiLevelType w:val="multilevel"/>
    <w:tmpl w:val="70F0074A"/>
    <w:lvl w:ilvl="0">
      <w:start w:val="1"/>
      <w:numFmt w:val="bullet"/>
      <w:pStyle w:val="ListParagraph"/>
      <w:lvlText w:val=""/>
      <w:lvlJc w:val="left"/>
      <w:pPr>
        <w:ind w:left="363" w:hanging="363"/>
      </w:pPr>
      <w:rPr>
        <w:rFonts w:ascii="Symbol" w:hAnsi="Symbol" w:hint="default"/>
        <w:color w:val="auto"/>
      </w:rPr>
    </w:lvl>
    <w:lvl w:ilvl="1">
      <w:start w:val="1"/>
      <w:numFmt w:val="bullet"/>
      <w:lvlText w:val="o"/>
      <w:lvlJc w:val="left"/>
      <w:pPr>
        <w:ind w:left="930" w:hanging="363"/>
      </w:pPr>
      <w:rPr>
        <w:rFonts w:ascii="Courier New" w:hAnsi="Courier New" w:hint="default"/>
        <w:color w:val="auto"/>
      </w:rPr>
    </w:lvl>
    <w:lvl w:ilvl="2">
      <w:start w:val="1"/>
      <w:numFmt w:val="bullet"/>
      <w:lvlText w:val=""/>
      <w:lvlJc w:val="left"/>
      <w:pPr>
        <w:ind w:left="1497" w:hanging="363"/>
      </w:pPr>
      <w:rPr>
        <w:rFonts w:ascii="Wingdings" w:hAnsi="Wingdings" w:hint="default"/>
        <w:color w:val="auto"/>
      </w:rPr>
    </w:lvl>
    <w:lvl w:ilvl="3">
      <w:start w:val="1"/>
      <w:numFmt w:val="bullet"/>
      <w:lvlText w:val=""/>
      <w:lvlJc w:val="left"/>
      <w:pPr>
        <w:ind w:left="2064" w:hanging="363"/>
      </w:pPr>
      <w:rPr>
        <w:rFonts w:ascii="Symbol" w:hAnsi="Symbol" w:hint="default"/>
        <w:color w:val="auto"/>
      </w:rPr>
    </w:lvl>
    <w:lvl w:ilvl="4">
      <w:start w:val="1"/>
      <w:numFmt w:val="bullet"/>
      <w:lvlText w:val="o"/>
      <w:lvlJc w:val="left"/>
      <w:pPr>
        <w:ind w:left="2631" w:hanging="363"/>
      </w:pPr>
      <w:rPr>
        <w:rFonts w:ascii="Courier New" w:hAnsi="Courier New" w:cs="Courier New" w:hint="default"/>
      </w:rPr>
    </w:lvl>
    <w:lvl w:ilvl="5">
      <w:start w:val="1"/>
      <w:numFmt w:val="bullet"/>
      <w:lvlText w:val=""/>
      <w:lvlJc w:val="left"/>
      <w:pPr>
        <w:ind w:left="3198" w:hanging="363"/>
      </w:pPr>
      <w:rPr>
        <w:rFonts w:ascii="Wingdings" w:hAnsi="Wingdings" w:hint="default"/>
      </w:rPr>
    </w:lvl>
    <w:lvl w:ilvl="6">
      <w:start w:val="1"/>
      <w:numFmt w:val="bullet"/>
      <w:lvlText w:val=""/>
      <w:lvlJc w:val="left"/>
      <w:pPr>
        <w:ind w:left="3765" w:hanging="363"/>
      </w:pPr>
      <w:rPr>
        <w:rFonts w:ascii="Symbol" w:hAnsi="Symbol" w:hint="default"/>
      </w:rPr>
    </w:lvl>
    <w:lvl w:ilvl="7">
      <w:start w:val="1"/>
      <w:numFmt w:val="bullet"/>
      <w:lvlText w:val="o"/>
      <w:lvlJc w:val="left"/>
      <w:pPr>
        <w:ind w:left="4332" w:hanging="363"/>
      </w:pPr>
      <w:rPr>
        <w:rFonts w:ascii="Courier New" w:hAnsi="Courier New" w:cs="Courier New" w:hint="default"/>
      </w:rPr>
    </w:lvl>
    <w:lvl w:ilvl="8">
      <w:start w:val="1"/>
      <w:numFmt w:val="bullet"/>
      <w:lvlText w:val=""/>
      <w:lvlJc w:val="left"/>
      <w:pPr>
        <w:ind w:left="4899" w:hanging="363"/>
      </w:pPr>
      <w:rPr>
        <w:rFonts w:ascii="Wingdings" w:hAnsi="Wingdings" w:hint="default"/>
      </w:rPr>
    </w:lvl>
  </w:abstractNum>
  <w:abstractNum w:abstractNumId="4" w15:restartNumberingAfterBreak="0">
    <w:nsid w:val="2959039F"/>
    <w:multiLevelType w:val="hybridMultilevel"/>
    <w:tmpl w:val="85B636A6"/>
    <w:lvl w:ilvl="0" w:tplc="30FA546E">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5" w15:restartNumberingAfterBreak="0">
    <w:nsid w:val="2A815693"/>
    <w:multiLevelType w:val="hybridMultilevel"/>
    <w:tmpl w:val="8E920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05564B"/>
    <w:multiLevelType w:val="hybridMultilevel"/>
    <w:tmpl w:val="C9622726"/>
    <w:lvl w:ilvl="0" w:tplc="FC40AA82">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C945FC"/>
    <w:multiLevelType w:val="hybridMultilevel"/>
    <w:tmpl w:val="0374C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A787A"/>
    <w:multiLevelType w:val="hybridMultilevel"/>
    <w:tmpl w:val="23BC4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E90173"/>
    <w:multiLevelType w:val="multilevel"/>
    <w:tmpl w:val="D83294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0" w15:restartNumberingAfterBreak="0">
    <w:nsid w:val="49A27FA9"/>
    <w:multiLevelType w:val="multilevel"/>
    <w:tmpl w:val="DBFE397C"/>
    <w:lvl w:ilvl="0">
      <w:start w:val="1"/>
      <w:numFmt w:val="bullet"/>
      <w:lvlText w:val=""/>
      <w:lvlJc w:val="left"/>
      <w:pPr>
        <w:ind w:left="720" w:hanging="363"/>
      </w:pPr>
      <w:rPr>
        <w:rFonts w:ascii="Symbol" w:hAnsi="Symbol" w:hint="default"/>
        <w:color w:val="E6E5D7" w:themeColor="accent2"/>
      </w:rPr>
    </w:lvl>
    <w:lvl w:ilvl="1">
      <w:start w:val="1"/>
      <w:numFmt w:val="bullet"/>
      <w:lvlText w:val="o"/>
      <w:lvlJc w:val="left"/>
      <w:pPr>
        <w:ind w:left="1287" w:hanging="363"/>
      </w:pPr>
      <w:rPr>
        <w:rFonts w:ascii="Courier New" w:hAnsi="Courier New" w:hint="default"/>
        <w:color w:val="E6E5D7" w:themeColor="accent2"/>
      </w:rPr>
    </w:lvl>
    <w:lvl w:ilvl="2">
      <w:start w:val="1"/>
      <w:numFmt w:val="bullet"/>
      <w:lvlText w:val=""/>
      <w:lvlJc w:val="left"/>
      <w:pPr>
        <w:ind w:left="1854" w:hanging="363"/>
      </w:pPr>
      <w:rPr>
        <w:rFonts w:ascii="Wingdings" w:hAnsi="Wingdings" w:hint="default"/>
        <w:color w:val="E6E5D7" w:themeColor="accent2"/>
      </w:rPr>
    </w:lvl>
    <w:lvl w:ilvl="3">
      <w:start w:val="1"/>
      <w:numFmt w:val="bullet"/>
      <w:lvlText w:val=""/>
      <w:lvlJc w:val="left"/>
      <w:pPr>
        <w:ind w:left="2421" w:hanging="363"/>
      </w:pPr>
      <w:rPr>
        <w:rFonts w:ascii="Symbol" w:hAnsi="Symbol" w:hint="default"/>
        <w:color w:val="E6E5D7" w:themeColor="accent2"/>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11" w15:restartNumberingAfterBreak="0">
    <w:nsid w:val="4EDC0390"/>
    <w:multiLevelType w:val="multilevel"/>
    <w:tmpl w:val="DBFE397C"/>
    <w:lvl w:ilvl="0">
      <w:start w:val="1"/>
      <w:numFmt w:val="bullet"/>
      <w:lvlText w:val=""/>
      <w:lvlJc w:val="left"/>
      <w:pPr>
        <w:ind w:left="720" w:hanging="363"/>
      </w:pPr>
      <w:rPr>
        <w:rFonts w:ascii="Symbol" w:hAnsi="Symbol" w:hint="default"/>
        <w:color w:val="E6E5D7" w:themeColor="accent2"/>
      </w:rPr>
    </w:lvl>
    <w:lvl w:ilvl="1">
      <w:start w:val="1"/>
      <w:numFmt w:val="bullet"/>
      <w:lvlText w:val="o"/>
      <w:lvlJc w:val="left"/>
      <w:pPr>
        <w:ind w:left="1287" w:hanging="363"/>
      </w:pPr>
      <w:rPr>
        <w:rFonts w:ascii="Courier New" w:hAnsi="Courier New" w:hint="default"/>
        <w:color w:val="E6E5D7" w:themeColor="accent2"/>
      </w:rPr>
    </w:lvl>
    <w:lvl w:ilvl="2">
      <w:start w:val="1"/>
      <w:numFmt w:val="bullet"/>
      <w:lvlText w:val=""/>
      <w:lvlJc w:val="left"/>
      <w:pPr>
        <w:ind w:left="1854" w:hanging="363"/>
      </w:pPr>
      <w:rPr>
        <w:rFonts w:ascii="Wingdings" w:hAnsi="Wingdings" w:hint="default"/>
        <w:color w:val="E6E5D7" w:themeColor="accent2"/>
      </w:rPr>
    </w:lvl>
    <w:lvl w:ilvl="3">
      <w:start w:val="1"/>
      <w:numFmt w:val="bullet"/>
      <w:lvlText w:val=""/>
      <w:lvlJc w:val="left"/>
      <w:pPr>
        <w:ind w:left="2421" w:hanging="363"/>
      </w:pPr>
      <w:rPr>
        <w:rFonts w:ascii="Symbol" w:hAnsi="Symbol" w:hint="default"/>
        <w:color w:val="E6E5D7" w:themeColor="accent2"/>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12" w15:restartNumberingAfterBreak="0">
    <w:nsid w:val="5AEA133A"/>
    <w:multiLevelType w:val="hybridMultilevel"/>
    <w:tmpl w:val="854C5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34136E"/>
    <w:multiLevelType w:val="hybridMultilevel"/>
    <w:tmpl w:val="74A66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67440F"/>
    <w:multiLevelType w:val="hybridMultilevel"/>
    <w:tmpl w:val="693CB972"/>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15" w15:restartNumberingAfterBreak="0">
    <w:nsid w:val="6D4429F3"/>
    <w:multiLevelType w:val="hybridMultilevel"/>
    <w:tmpl w:val="EF4E2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A867B3"/>
    <w:multiLevelType w:val="hybridMultilevel"/>
    <w:tmpl w:val="232EEABC"/>
    <w:lvl w:ilvl="0" w:tplc="15E43CA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8486696">
    <w:abstractNumId w:val="11"/>
  </w:num>
  <w:num w:numId="2" w16cid:durableId="1597471284">
    <w:abstractNumId w:val="7"/>
  </w:num>
  <w:num w:numId="3" w16cid:durableId="765811652">
    <w:abstractNumId w:val="0"/>
  </w:num>
  <w:num w:numId="4" w16cid:durableId="1045835895">
    <w:abstractNumId w:val="10"/>
  </w:num>
  <w:num w:numId="5" w16cid:durableId="51971498">
    <w:abstractNumId w:val="3"/>
  </w:num>
  <w:num w:numId="6" w16cid:durableId="1278952022">
    <w:abstractNumId w:val="5"/>
  </w:num>
  <w:num w:numId="7" w16cid:durableId="167017949">
    <w:abstractNumId w:val="12"/>
  </w:num>
  <w:num w:numId="8" w16cid:durableId="1374572255">
    <w:abstractNumId w:val="2"/>
  </w:num>
  <w:num w:numId="9" w16cid:durableId="565335366">
    <w:abstractNumId w:val="4"/>
  </w:num>
  <w:num w:numId="10" w16cid:durableId="175971221">
    <w:abstractNumId w:val="14"/>
  </w:num>
  <w:num w:numId="11" w16cid:durableId="1577739510">
    <w:abstractNumId w:val="6"/>
  </w:num>
  <w:num w:numId="12" w16cid:durableId="1642543176">
    <w:abstractNumId w:val="16"/>
  </w:num>
  <w:num w:numId="13" w16cid:durableId="1982810695">
    <w:abstractNumId w:val="9"/>
  </w:num>
  <w:num w:numId="14" w16cid:durableId="2109765798">
    <w:abstractNumId w:val="13"/>
  </w:num>
  <w:num w:numId="15" w16cid:durableId="262539731">
    <w:abstractNumId w:val="1"/>
  </w:num>
  <w:num w:numId="16" w16cid:durableId="831873713">
    <w:abstractNumId w:val="15"/>
  </w:num>
  <w:num w:numId="17" w16cid:durableId="599139221">
    <w:abstractNumId w:val="3"/>
  </w:num>
  <w:num w:numId="18" w16cid:durableId="1305355915">
    <w:abstractNumId w:val="2"/>
  </w:num>
  <w:num w:numId="19" w16cid:durableId="2028827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A"/>
    <w:rsid w:val="00000130"/>
    <w:rsid w:val="00002C7C"/>
    <w:rsid w:val="000030F8"/>
    <w:rsid w:val="0000368B"/>
    <w:rsid w:val="00003798"/>
    <w:rsid w:val="00003F94"/>
    <w:rsid w:val="00004B07"/>
    <w:rsid w:val="00007FAC"/>
    <w:rsid w:val="00011001"/>
    <w:rsid w:val="00011735"/>
    <w:rsid w:val="00011C85"/>
    <w:rsid w:val="00011CAB"/>
    <w:rsid w:val="000123DF"/>
    <w:rsid w:val="00012FA5"/>
    <w:rsid w:val="00013EB4"/>
    <w:rsid w:val="00015D13"/>
    <w:rsid w:val="00016189"/>
    <w:rsid w:val="00016385"/>
    <w:rsid w:val="000170EC"/>
    <w:rsid w:val="000206F7"/>
    <w:rsid w:val="0002121B"/>
    <w:rsid w:val="000217E2"/>
    <w:rsid w:val="00022027"/>
    <w:rsid w:val="00022DCE"/>
    <w:rsid w:val="000238CD"/>
    <w:rsid w:val="00023C98"/>
    <w:rsid w:val="00024D1B"/>
    <w:rsid w:val="00026AC1"/>
    <w:rsid w:val="0002735C"/>
    <w:rsid w:val="00027954"/>
    <w:rsid w:val="00027A79"/>
    <w:rsid w:val="00030177"/>
    <w:rsid w:val="00030182"/>
    <w:rsid w:val="000316BB"/>
    <w:rsid w:val="00031FF3"/>
    <w:rsid w:val="00032C4C"/>
    <w:rsid w:val="00032E2D"/>
    <w:rsid w:val="000330E6"/>
    <w:rsid w:val="00033DBD"/>
    <w:rsid w:val="000342B3"/>
    <w:rsid w:val="00034753"/>
    <w:rsid w:val="00035291"/>
    <w:rsid w:val="00035A89"/>
    <w:rsid w:val="00036A70"/>
    <w:rsid w:val="000374B0"/>
    <w:rsid w:val="00041380"/>
    <w:rsid w:val="00041DFF"/>
    <w:rsid w:val="00042128"/>
    <w:rsid w:val="000438F9"/>
    <w:rsid w:val="000443EC"/>
    <w:rsid w:val="000454BD"/>
    <w:rsid w:val="00046BBA"/>
    <w:rsid w:val="00053194"/>
    <w:rsid w:val="00053DF7"/>
    <w:rsid w:val="000543BA"/>
    <w:rsid w:val="00054C2C"/>
    <w:rsid w:val="00056296"/>
    <w:rsid w:val="00056C12"/>
    <w:rsid w:val="00057CFD"/>
    <w:rsid w:val="000621BD"/>
    <w:rsid w:val="000630A2"/>
    <w:rsid w:val="00063B37"/>
    <w:rsid w:val="00063BC9"/>
    <w:rsid w:val="0006480A"/>
    <w:rsid w:val="00065B8D"/>
    <w:rsid w:val="00065E6A"/>
    <w:rsid w:val="00066CFC"/>
    <w:rsid w:val="00066D1E"/>
    <w:rsid w:val="0007060C"/>
    <w:rsid w:val="000711DA"/>
    <w:rsid w:val="00071D81"/>
    <w:rsid w:val="00072242"/>
    <w:rsid w:val="00073811"/>
    <w:rsid w:val="00074DBF"/>
    <w:rsid w:val="00075351"/>
    <w:rsid w:val="000762A3"/>
    <w:rsid w:val="0007674A"/>
    <w:rsid w:val="00080087"/>
    <w:rsid w:val="0008008A"/>
    <w:rsid w:val="0008252E"/>
    <w:rsid w:val="000827E5"/>
    <w:rsid w:val="00082A1B"/>
    <w:rsid w:val="000834CC"/>
    <w:rsid w:val="00084624"/>
    <w:rsid w:val="00084B12"/>
    <w:rsid w:val="000853CC"/>
    <w:rsid w:val="000863AA"/>
    <w:rsid w:val="0008698E"/>
    <w:rsid w:val="0008786F"/>
    <w:rsid w:val="00090407"/>
    <w:rsid w:val="00091E1F"/>
    <w:rsid w:val="00092DAF"/>
    <w:rsid w:val="00092DC6"/>
    <w:rsid w:val="00093353"/>
    <w:rsid w:val="00094B7F"/>
    <w:rsid w:val="00095143"/>
    <w:rsid w:val="0009571B"/>
    <w:rsid w:val="00096CB3"/>
    <w:rsid w:val="000973E4"/>
    <w:rsid w:val="000977A9"/>
    <w:rsid w:val="00097F5B"/>
    <w:rsid w:val="000A0947"/>
    <w:rsid w:val="000A176F"/>
    <w:rsid w:val="000A1F88"/>
    <w:rsid w:val="000A381F"/>
    <w:rsid w:val="000A5DA8"/>
    <w:rsid w:val="000A78FD"/>
    <w:rsid w:val="000B07AD"/>
    <w:rsid w:val="000B0DC7"/>
    <w:rsid w:val="000B1870"/>
    <w:rsid w:val="000C0A19"/>
    <w:rsid w:val="000C1A24"/>
    <w:rsid w:val="000C514E"/>
    <w:rsid w:val="000C63E4"/>
    <w:rsid w:val="000C6DD2"/>
    <w:rsid w:val="000C778C"/>
    <w:rsid w:val="000D01BF"/>
    <w:rsid w:val="000D04AA"/>
    <w:rsid w:val="000D0BC9"/>
    <w:rsid w:val="000D11CB"/>
    <w:rsid w:val="000D231F"/>
    <w:rsid w:val="000D26A3"/>
    <w:rsid w:val="000D2DD2"/>
    <w:rsid w:val="000D32E3"/>
    <w:rsid w:val="000D3344"/>
    <w:rsid w:val="000D3695"/>
    <w:rsid w:val="000D48EF"/>
    <w:rsid w:val="000D5B00"/>
    <w:rsid w:val="000D62AF"/>
    <w:rsid w:val="000D6472"/>
    <w:rsid w:val="000D66F9"/>
    <w:rsid w:val="000D6BE9"/>
    <w:rsid w:val="000D7106"/>
    <w:rsid w:val="000D77D9"/>
    <w:rsid w:val="000D7FBC"/>
    <w:rsid w:val="000E0533"/>
    <w:rsid w:val="000E0893"/>
    <w:rsid w:val="000E2C8F"/>
    <w:rsid w:val="000E2F2D"/>
    <w:rsid w:val="000E304D"/>
    <w:rsid w:val="000E367F"/>
    <w:rsid w:val="000E3D86"/>
    <w:rsid w:val="000E4F67"/>
    <w:rsid w:val="000E550B"/>
    <w:rsid w:val="000E5AA9"/>
    <w:rsid w:val="000E63AA"/>
    <w:rsid w:val="000E6AA0"/>
    <w:rsid w:val="000E7A0C"/>
    <w:rsid w:val="000F0734"/>
    <w:rsid w:val="000F1C61"/>
    <w:rsid w:val="000F2BFA"/>
    <w:rsid w:val="000F51B3"/>
    <w:rsid w:val="000F5D01"/>
    <w:rsid w:val="001001FB"/>
    <w:rsid w:val="00100277"/>
    <w:rsid w:val="00101C9A"/>
    <w:rsid w:val="0010225B"/>
    <w:rsid w:val="00102706"/>
    <w:rsid w:val="001027A2"/>
    <w:rsid w:val="00102F5F"/>
    <w:rsid w:val="00102F79"/>
    <w:rsid w:val="00103DF3"/>
    <w:rsid w:val="001055E7"/>
    <w:rsid w:val="00106F53"/>
    <w:rsid w:val="001072A0"/>
    <w:rsid w:val="0011037E"/>
    <w:rsid w:val="00110F1F"/>
    <w:rsid w:val="00111FF6"/>
    <w:rsid w:val="00112556"/>
    <w:rsid w:val="00112BDC"/>
    <w:rsid w:val="00113401"/>
    <w:rsid w:val="00114EC7"/>
    <w:rsid w:val="00115FB6"/>
    <w:rsid w:val="001164B6"/>
    <w:rsid w:val="001166DF"/>
    <w:rsid w:val="001178BF"/>
    <w:rsid w:val="001231A5"/>
    <w:rsid w:val="00124FA1"/>
    <w:rsid w:val="0012577B"/>
    <w:rsid w:val="001273A0"/>
    <w:rsid w:val="001300C7"/>
    <w:rsid w:val="001303FE"/>
    <w:rsid w:val="00132043"/>
    <w:rsid w:val="00132B27"/>
    <w:rsid w:val="00134AEF"/>
    <w:rsid w:val="00134DC0"/>
    <w:rsid w:val="0013706B"/>
    <w:rsid w:val="00137B98"/>
    <w:rsid w:val="00143CB8"/>
    <w:rsid w:val="00143E9B"/>
    <w:rsid w:val="0014450D"/>
    <w:rsid w:val="0014590E"/>
    <w:rsid w:val="0014595D"/>
    <w:rsid w:val="00146EB2"/>
    <w:rsid w:val="00150D50"/>
    <w:rsid w:val="00151239"/>
    <w:rsid w:val="00151949"/>
    <w:rsid w:val="0015298C"/>
    <w:rsid w:val="00153771"/>
    <w:rsid w:val="00154365"/>
    <w:rsid w:val="0016049C"/>
    <w:rsid w:val="001612EC"/>
    <w:rsid w:val="001635DE"/>
    <w:rsid w:val="00163C6D"/>
    <w:rsid w:val="001651D2"/>
    <w:rsid w:val="0016669E"/>
    <w:rsid w:val="00166792"/>
    <w:rsid w:val="00170BE1"/>
    <w:rsid w:val="001713C8"/>
    <w:rsid w:val="001714C0"/>
    <w:rsid w:val="001726E0"/>
    <w:rsid w:val="00173E7F"/>
    <w:rsid w:val="00173F31"/>
    <w:rsid w:val="001740F9"/>
    <w:rsid w:val="00175302"/>
    <w:rsid w:val="00175445"/>
    <w:rsid w:val="00175C39"/>
    <w:rsid w:val="001761D8"/>
    <w:rsid w:val="0017681A"/>
    <w:rsid w:val="00177321"/>
    <w:rsid w:val="001812C5"/>
    <w:rsid w:val="00181427"/>
    <w:rsid w:val="00182221"/>
    <w:rsid w:val="00182C5B"/>
    <w:rsid w:val="00182FEA"/>
    <w:rsid w:val="00183639"/>
    <w:rsid w:val="00183F79"/>
    <w:rsid w:val="0018438A"/>
    <w:rsid w:val="001843A6"/>
    <w:rsid w:val="00186538"/>
    <w:rsid w:val="0018730C"/>
    <w:rsid w:val="0018743D"/>
    <w:rsid w:val="00187485"/>
    <w:rsid w:val="00190BD8"/>
    <w:rsid w:val="00190CB3"/>
    <w:rsid w:val="00191A22"/>
    <w:rsid w:val="0019241A"/>
    <w:rsid w:val="00192665"/>
    <w:rsid w:val="0019280F"/>
    <w:rsid w:val="00192F89"/>
    <w:rsid w:val="00195AB3"/>
    <w:rsid w:val="001960F0"/>
    <w:rsid w:val="001A0E2B"/>
    <w:rsid w:val="001A14C5"/>
    <w:rsid w:val="001A1B31"/>
    <w:rsid w:val="001A27BF"/>
    <w:rsid w:val="001A3D5A"/>
    <w:rsid w:val="001A466F"/>
    <w:rsid w:val="001A4AEC"/>
    <w:rsid w:val="001A4D1B"/>
    <w:rsid w:val="001A5237"/>
    <w:rsid w:val="001A6A1C"/>
    <w:rsid w:val="001A7F9C"/>
    <w:rsid w:val="001B22F4"/>
    <w:rsid w:val="001B2F3E"/>
    <w:rsid w:val="001B40C3"/>
    <w:rsid w:val="001B4DF7"/>
    <w:rsid w:val="001B56CE"/>
    <w:rsid w:val="001B57E6"/>
    <w:rsid w:val="001B6B23"/>
    <w:rsid w:val="001B7135"/>
    <w:rsid w:val="001C03B0"/>
    <w:rsid w:val="001C1BA7"/>
    <w:rsid w:val="001C233F"/>
    <w:rsid w:val="001C3625"/>
    <w:rsid w:val="001C4298"/>
    <w:rsid w:val="001C48A3"/>
    <w:rsid w:val="001C6207"/>
    <w:rsid w:val="001C63D1"/>
    <w:rsid w:val="001C6FAD"/>
    <w:rsid w:val="001C7DDE"/>
    <w:rsid w:val="001D0B5A"/>
    <w:rsid w:val="001D1594"/>
    <w:rsid w:val="001D27C7"/>
    <w:rsid w:val="001D34C7"/>
    <w:rsid w:val="001D361C"/>
    <w:rsid w:val="001D3CF9"/>
    <w:rsid w:val="001D5527"/>
    <w:rsid w:val="001D593A"/>
    <w:rsid w:val="001D7B17"/>
    <w:rsid w:val="001E01E1"/>
    <w:rsid w:val="001E0760"/>
    <w:rsid w:val="001E1F37"/>
    <w:rsid w:val="001E1F64"/>
    <w:rsid w:val="001E2ACB"/>
    <w:rsid w:val="001E2B09"/>
    <w:rsid w:val="001E49A3"/>
    <w:rsid w:val="001E4D99"/>
    <w:rsid w:val="001E4EDC"/>
    <w:rsid w:val="001F12B2"/>
    <w:rsid w:val="001F1CA8"/>
    <w:rsid w:val="001F22ED"/>
    <w:rsid w:val="001F2F1C"/>
    <w:rsid w:val="001F2F43"/>
    <w:rsid w:val="001F38C0"/>
    <w:rsid w:val="001F3CDF"/>
    <w:rsid w:val="001F62B9"/>
    <w:rsid w:val="001F7694"/>
    <w:rsid w:val="002011C1"/>
    <w:rsid w:val="002022D7"/>
    <w:rsid w:val="00204D78"/>
    <w:rsid w:val="00204F6C"/>
    <w:rsid w:val="002051B5"/>
    <w:rsid w:val="00206FF6"/>
    <w:rsid w:val="00207ACD"/>
    <w:rsid w:val="002107B7"/>
    <w:rsid w:val="00211E64"/>
    <w:rsid w:val="00213037"/>
    <w:rsid w:val="00213996"/>
    <w:rsid w:val="0021410B"/>
    <w:rsid w:val="0021492B"/>
    <w:rsid w:val="0021524A"/>
    <w:rsid w:val="00215757"/>
    <w:rsid w:val="00215AEA"/>
    <w:rsid w:val="00216329"/>
    <w:rsid w:val="002166E1"/>
    <w:rsid w:val="00216ABC"/>
    <w:rsid w:val="00217126"/>
    <w:rsid w:val="00217C4A"/>
    <w:rsid w:val="002208E1"/>
    <w:rsid w:val="00221899"/>
    <w:rsid w:val="00221FF2"/>
    <w:rsid w:val="00222B97"/>
    <w:rsid w:val="00224B74"/>
    <w:rsid w:val="0022519C"/>
    <w:rsid w:val="002258AF"/>
    <w:rsid w:val="00225E8B"/>
    <w:rsid w:val="00226316"/>
    <w:rsid w:val="00226B27"/>
    <w:rsid w:val="0022703A"/>
    <w:rsid w:val="002279E8"/>
    <w:rsid w:val="002305B7"/>
    <w:rsid w:val="00230827"/>
    <w:rsid w:val="00231450"/>
    <w:rsid w:val="002323C2"/>
    <w:rsid w:val="00233598"/>
    <w:rsid w:val="002338C4"/>
    <w:rsid w:val="00233CB8"/>
    <w:rsid w:val="00235442"/>
    <w:rsid w:val="00235641"/>
    <w:rsid w:val="00236632"/>
    <w:rsid w:val="00236963"/>
    <w:rsid w:val="00236FE1"/>
    <w:rsid w:val="00237856"/>
    <w:rsid w:val="00237A17"/>
    <w:rsid w:val="002408B4"/>
    <w:rsid w:val="00243B6C"/>
    <w:rsid w:val="00243C25"/>
    <w:rsid w:val="002446FE"/>
    <w:rsid w:val="00244A32"/>
    <w:rsid w:val="002451EE"/>
    <w:rsid w:val="00245CB0"/>
    <w:rsid w:val="00246B50"/>
    <w:rsid w:val="00246C34"/>
    <w:rsid w:val="00247020"/>
    <w:rsid w:val="00247223"/>
    <w:rsid w:val="00247443"/>
    <w:rsid w:val="00247D01"/>
    <w:rsid w:val="00250469"/>
    <w:rsid w:val="002504E6"/>
    <w:rsid w:val="0025050D"/>
    <w:rsid w:val="00250B11"/>
    <w:rsid w:val="00251051"/>
    <w:rsid w:val="00251518"/>
    <w:rsid w:val="002521FE"/>
    <w:rsid w:val="00252366"/>
    <w:rsid w:val="0025243D"/>
    <w:rsid w:val="00252FC2"/>
    <w:rsid w:val="00253941"/>
    <w:rsid w:val="0025412F"/>
    <w:rsid w:val="00254E1C"/>
    <w:rsid w:val="0025501E"/>
    <w:rsid w:val="00255694"/>
    <w:rsid w:val="0025622E"/>
    <w:rsid w:val="00257BA7"/>
    <w:rsid w:val="00257D83"/>
    <w:rsid w:val="00260814"/>
    <w:rsid w:val="00261AD5"/>
    <w:rsid w:val="00262A8E"/>
    <w:rsid w:val="002641B2"/>
    <w:rsid w:val="002653F3"/>
    <w:rsid w:val="002660B2"/>
    <w:rsid w:val="00267370"/>
    <w:rsid w:val="0026765C"/>
    <w:rsid w:val="00267C97"/>
    <w:rsid w:val="00270235"/>
    <w:rsid w:val="0027120A"/>
    <w:rsid w:val="002719DC"/>
    <w:rsid w:val="00272AC4"/>
    <w:rsid w:val="00272E66"/>
    <w:rsid w:val="00273EAC"/>
    <w:rsid w:val="00275279"/>
    <w:rsid w:val="002764AC"/>
    <w:rsid w:val="0027691E"/>
    <w:rsid w:val="00276BA3"/>
    <w:rsid w:val="00277056"/>
    <w:rsid w:val="00281700"/>
    <w:rsid w:val="00282F94"/>
    <w:rsid w:val="00283046"/>
    <w:rsid w:val="0028314B"/>
    <w:rsid w:val="0028322C"/>
    <w:rsid w:val="00284DA8"/>
    <w:rsid w:val="00285922"/>
    <w:rsid w:val="00285B47"/>
    <w:rsid w:val="00286176"/>
    <w:rsid w:val="0028766D"/>
    <w:rsid w:val="002929AB"/>
    <w:rsid w:val="00292E49"/>
    <w:rsid w:val="00296E83"/>
    <w:rsid w:val="002A03E2"/>
    <w:rsid w:val="002A0570"/>
    <w:rsid w:val="002A0679"/>
    <w:rsid w:val="002A151A"/>
    <w:rsid w:val="002A515A"/>
    <w:rsid w:val="002A5623"/>
    <w:rsid w:val="002B094C"/>
    <w:rsid w:val="002B0D0C"/>
    <w:rsid w:val="002B3006"/>
    <w:rsid w:val="002B32B4"/>
    <w:rsid w:val="002B3461"/>
    <w:rsid w:val="002B5743"/>
    <w:rsid w:val="002B6FAE"/>
    <w:rsid w:val="002B78CC"/>
    <w:rsid w:val="002C016B"/>
    <w:rsid w:val="002C1B25"/>
    <w:rsid w:val="002C2E09"/>
    <w:rsid w:val="002C2EBB"/>
    <w:rsid w:val="002C5283"/>
    <w:rsid w:val="002C7B51"/>
    <w:rsid w:val="002D0674"/>
    <w:rsid w:val="002D25C3"/>
    <w:rsid w:val="002D306D"/>
    <w:rsid w:val="002D35BB"/>
    <w:rsid w:val="002D41E2"/>
    <w:rsid w:val="002D65DB"/>
    <w:rsid w:val="002D79A4"/>
    <w:rsid w:val="002D7AF4"/>
    <w:rsid w:val="002E0F87"/>
    <w:rsid w:val="002E16BE"/>
    <w:rsid w:val="002E405C"/>
    <w:rsid w:val="002E48F1"/>
    <w:rsid w:val="002E53D2"/>
    <w:rsid w:val="002E59D3"/>
    <w:rsid w:val="002E5A5D"/>
    <w:rsid w:val="002E6A6C"/>
    <w:rsid w:val="002F05F7"/>
    <w:rsid w:val="002F2427"/>
    <w:rsid w:val="002F2605"/>
    <w:rsid w:val="002F33B1"/>
    <w:rsid w:val="002F4254"/>
    <w:rsid w:val="002F577B"/>
    <w:rsid w:val="002F64CC"/>
    <w:rsid w:val="002F6F8F"/>
    <w:rsid w:val="002F7190"/>
    <w:rsid w:val="002F77B8"/>
    <w:rsid w:val="002F781F"/>
    <w:rsid w:val="00301688"/>
    <w:rsid w:val="00302DC3"/>
    <w:rsid w:val="00303933"/>
    <w:rsid w:val="0030486C"/>
    <w:rsid w:val="00304AC2"/>
    <w:rsid w:val="00307993"/>
    <w:rsid w:val="00307A39"/>
    <w:rsid w:val="003100FB"/>
    <w:rsid w:val="003124DC"/>
    <w:rsid w:val="00313BF6"/>
    <w:rsid w:val="00314D9A"/>
    <w:rsid w:val="003157C4"/>
    <w:rsid w:val="00315ABD"/>
    <w:rsid w:val="00316B6B"/>
    <w:rsid w:val="00317B66"/>
    <w:rsid w:val="00317EF4"/>
    <w:rsid w:val="003207A2"/>
    <w:rsid w:val="0032159D"/>
    <w:rsid w:val="0032196E"/>
    <w:rsid w:val="00321E1F"/>
    <w:rsid w:val="0032323E"/>
    <w:rsid w:val="003243D3"/>
    <w:rsid w:val="00326281"/>
    <w:rsid w:val="0032785D"/>
    <w:rsid w:val="0033037F"/>
    <w:rsid w:val="003311DF"/>
    <w:rsid w:val="003317DD"/>
    <w:rsid w:val="0033302F"/>
    <w:rsid w:val="003347C9"/>
    <w:rsid w:val="00336628"/>
    <w:rsid w:val="00336675"/>
    <w:rsid w:val="00336A50"/>
    <w:rsid w:val="003408CE"/>
    <w:rsid w:val="00341AA3"/>
    <w:rsid w:val="003429CE"/>
    <w:rsid w:val="00342F6F"/>
    <w:rsid w:val="003430B8"/>
    <w:rsid w:val="003434A2"/>
    <w:rsid w:val="0034353D"/>
    <w:rsid w:val="00345866"/>
    <w:rsid w:val="003505D2"/>
    <w:rsid w:val="00350FF6"/>
    <w:rsid w:val="003515F5"/>
    <w:rsid w:val="00357166"/>
    <w:rsid w:val="00357AC0"/>
    <w:rsid w:val="0036117A"/>
    <w:rsid w:val="00361EF9"/>
    <w:rsid w:val="00362365"/>
    <w:rsid w:val="0036236C"/>
    <w:rsid w:val="00363DB0"/>
    <w:rsid w:val="00365E1A"/>
    <w:rsid w:val="00365EEF"/>
    <w:rsid w:val="00366AF1"/>
    <w:rsid w:val="003674EC"/>
    <w:rsid w:val="00367A8D"/>
    <w:rsid w:val="003707FB"/>
    <w:rsid w:val="00370FEE"/>
    <w:rsid w:val="003725A5"/>
    <w:rsid w:val="00372C9D"/>
    <w:rsid w:val="00373F00"/>
    <w:rsid w:val="00374540"/>
    <w:rsid w:val="00375A71"/>
    <w:rsid w:val="003778F2"/>
    <w:rsid w:val="00381AF1"/>
    <w:rsid w:val="00384489"/>
    <w:rsid w:val="003855C9"/>
    <w:rsid w:val="00385B48"/>
    <w:rsid w:val="00386019"/>
    <w:rsid w:val="0038616D"/>
    <w:rsid w:val="00387092"/>
    <w:rsid w:val="0038726D"/>
    <w:rsid w:val="00390394"/>
    <w:rsid w:val="00390645"/>
    <w:rsid w:val="00390E45"/>
    <w:rsid w:val="003910AC"/>
    <w:rsid w:val="003913F5"/>
    <w:rsid w:val="00392DB1"/>
    <w:rsid w:val="00393756"/>
    <w:rsid w:val="0039439B"/>
    <w:rsid w:val="003949DC"/>
    <w:rsid w:val="00394AAA"/>
    <w:rsid w:val="0039575F"/>
    <w:rsid w:val="003A0939"/>
    <w:rsid w:val="003A0AF0"/>
    <w:rsid w:val="003A1909"/>
    <w:rsid w:val="003A1CD4"/>
    <w:rsid w:val="003A25C8"/>
    <w:rsid w:val="003A4B6A"/>
    <w:rsid w:val="003A4E95"/>
    <w:rsid w:val="003A5027"/>
    <w:rsid w:val="003A51C1"/>
    <w:rsid w:val="003A5DED"/>
    <w:rsid w:val="003A6FE5"/>
    <w:rsid w:val="003A7BF9"/>
    <w:rsid w:val="003A7D87"/>
    <w:rsid w:val="003A7FE4"/>
    <w:rsid w:val="003B0013"/>
    <w:rsid w:val="003B17F0"/>
    <w:rsid w:val="003B3CEF"/>
    <w:rsid w:val="003B406D"/>
    <w:rsid w:val="003B42B9"/>
    <w:rsid w:val="003B4D6F"/>
    <w:rsid w:val="003B4F46"/>
    <w:rsid w:val="003C0444"/>
    <w:rsid w:val="003C0D34"/>
    <w:rsid w:val="003C128B"/>
    <w:rsid w:val="003C137D"/>
    <w:rsid w:val="003C2351"/>
    <w:rsid w:val="003C27BE"/>
    <w:rsid w:val="003C310E"/>
    <w:rsid w:val="003C4F50"/>
    <w:rsid w:val="003C52B5"/>
    <w:rsid w:val="003C60DE"/>
    <w:rsid w:val="003C61FA"/>
    <w:rsid w:val="003C64DB"/>
    <w:rsid w:val="003C6555"/>
    <w:rsid w:val="003C687B"/>
    <w:rsid w:val="003C6BF2"/>
    <w:rsid w:val="003C704B"/>
    <w:rsid w:val="003C7AE8"/>
    <w:rsid w:val="003D0653"/>
    <w:rsid w:val="003D09FE"/>
    <w:rsid w:val="003D11E0"/>
    <w:rsid w:val="003D1274"/>
    <w:rsid w:val="003D1545"/>
    <w:rsid w:val="003D2BBF"/>
    <w:rsid w:val="003D3D05"/>
    <w:rsid w:val="003E0494"/>
    <w:rsid w:val="003E18A8"/>
    <w:rsid w:val="003E2089"/>
    <w:rsid w:val="003E3882"/>
    <w:rsid w:val="003E39DA"/>
    <w:rsid w:val="003E56A7"/>
    <w:rsid w:val="003E5ACE"/>
    <w:rsid w:val="003E5C24"/>
    <w:rsid w:val="003E6223"/>
    <w:rsid w:val="003E6D7F"/>
    <w:rsid w:val="003E7160"/>
    <w:rsid w:val="003E7D0E"/>
    <w:rsid w:val="003F0877"/>
    <w:rsid w:val="003F0A8B"/>
    <w:rsid w:val="003F22B0"/>
    <w:rsid w:val="003F28B5"/>
    <w:rsid w:val="003F2FEB"/>
    <w:rsid w:val="003F3BDA"/>
    <w:rsid w:val="003F4180"/>
    <w:rsid w:val="003F59B8"/>
    <w:rsid w:val="003F66B4"/>
    <w:rsid w:val="003F672A"/>
    <w:rsid w:val="00403261"/>
    <w:rsid w:val="004036FC"/>
    <w:rsid w:val="00404A15"/>
    <w:rsid w:val="00405484"/>
    <w:rsid w:val="004057BF"/>
    <w:rsid w:val="00405AED"/>
    <w:rsid w:val="00405F5B"/>
    <w:rsid w:val="00405FF4"/>
    <w:rsid w:val="0040613E"/>
    <w:rsid w:val="00407955"/>
    <w:rsid w:val="00407969"/>
    <w:rsid w:val="00407D25"/>
    <w:rsid w:val="004104FE"/>
    <w:rsid w:val="00410546"/>
    <w:rsid w:val="00410893"/>
    <w:rsid w:val="00410BCD"/>
    <w:rsid w:val="00410C6E"/>
    <w:rsid w:val="00410FAC"/>
    <w:rsid w:val="00411332"/>
    <w:rsid w:val="00411AC4"/>
    <w:rsid w:val="00411B26"/>
    <w:rsid w:val="00413DB9"/>
    <w:rsid w:val="00414EF1"/>
    <w:rsid w:val="004157D1"/>
    <w:rsid w:val="00415DC6"/>
    <w:rsid w:val="00415FE4"/>
    <w:rsid w:val="00420331"/>
    <w:rsid w:val="00422237"/>
    <w:rsid w:val="004233FD"/>
    <w:rsid w:val="0042367B"/>
    <w:rsid w:val="00423A64"/>
    <w:rsid w:val="00425617"/>
    <w:rsid w:val="0042589F"/>
    <w:rsid w:val="004261BE"/>
    <w:rsid w:val="0042734D"/>
    <w:rsid w:val="0043118A"/>
    <w:rsid w:val="0043263A"/>
    <w:rsid w:val="0043442D"/>
    <w:rsid w:val="00435F83"/>
    <w:rsid w:val="00436D9D"/>
    <w:rsid w:val="00437A23"/>
    <w:rsid w:val="0044068F"/>
    <w:rsid w:val="00440AB0"/>
    <w:rsid w:val="00444174"/>
    <w:rsid w:val="00445DEF"/>
    <w:rsid w:val="00447C6E"/>
    <w:rsid w:val="00450255"/>
    <w:rsid w:val="00452FA8"/>
    <w:rsid w:val="00453C6F"/>
    <w:rsid w:val="004560F7"/>
    <w:rsid w:val="004565FB"/>
    <w:rsid w:val="004607B2"/>
    <w:rsid w:val="00463DE0"/>
    <w:rsid w:val="00464556"/>
    <w:rsid w:val="004652B8"/>
    <w:rsid w:val="00466246"/>
    <w:rsid w:val="00467121"/>
    <w:rsid w:val="00467244"/>
    <w:rsid w:val="00467AD5"/>
    <w:rsid w:val="00472B58"/>
    <w:rsid w:val="00472F45"/>
    <w:rsid w:val="0047324E"/>
    <w:rsid w:val="004738B3"/>
    <w:rsid w:val="0047519C"/>
    <w:rsid w:val="00476A63"/>
    <w:rsid w:val="0047777A"/>
    <w:rsid w:val="00477C7D"/>
    <w:rsid w:val="004813BF"/>
    <w:rsid w:val="00481887"/>
    <w:rsid w:val="00481A50"/>
    <w:rsid w:val="00482E7D"/>
    <w:rsid w:val="0048433B"/>
    <w:rsid w:val="00484A48"/>
    <w:rsid w:val="00486C0A"/>
    <w:rsid w:val="004878BF"/>
    <w:rsid w:val="00492733"/>
    <w:rsid w:val="0049428C"/>
    <w:rsid w:val="00494614"/>
    <w:rsid w:val="004947C3"/>
    <w:rsid w:val="00495A87"/>
    <w:rsid w:val="00495B5A"/>
    <w:rsid w:val="004964A9"/>
    <w:rsid w:val="00497941"/>
    <w:rsid w:val="00497BC7"/>
    <w:rsid w:val="004A4616"/>
    <w:rsid w:val="004A481B"/>
    <w:rsid w:val="004A48E4"/>
    <w:rsid w:val="004A7F25"/>
    <w:rsid w:val="004B0166"/>
    <w:rsid w:val="004B052A"/>
    <w:rsid w:val="004B1078"/>
    <w:rsid w:val="004B1368"/>
    <w:rsid w:val="004B1C1E"/>
    <w:rsid w:val="004B1DED"/>
    <w:rsid w:val="004B2938"/>
    <w:rsid w:val="004B3B05"/>
    <w:rsid w:val="004B5090"/>
    <w:rsid w:val="004B5183"/>
    <w:rsid w:val="004B57C4"/>
    <w:rsid w:val="004B5F5B"/>
    <w:rsid w:val="004B7480"/>
    <w:rsid w:val="004C04D5"/>
    <w:rsid w:val="004C0E02"/>
    <w:rsid w:val="004C1574"/>
    <w:rsid w:val="004C1EF0"/>
    <w:rsid w:val="004C27A4"/>
    <w:rsid w:val="004C2ECD"/>
    <w:rsid w:val="004C5F1A"/>
    <w:rsid w:val="004C66CE"/>
    <w:rsid w:val="004C680D"/>
    <w:rsid w:val="004C6EDB"/>
    <w:rsid w:val="004C73B4"/>
    <w:rsid w:val="004C7909"/>
    <w:rsid w:val="004C7B79"/>
    <w:rsid w:val="004D0446"/>
    <w:rsid w:val="004D06C5"/>
    <w:rsid w:val="004D0F65"/>
    <w:rsid w:val="004D1675"/>
    <w:rsid w:val="004D1B6F"/>
    <w:rsid w:val="004D1FDA"/>
    <w:rsid w:val="004D3C8F"/>
    <w:rsid w:val="004D6D2D"/>
    <w:rsid w:val="004D780D"/>
    <w:rsid w:val="004E0954"/>
    <w:rsid w:val="004E114A"/>
    <w:rsid w:val="004E13B2"/>
    <w:rsid w:val="004E2530"/>
    <w:rsid w:val="004E2716"/>
    <w:rsid w:val="004E323B"/>
    <w:rsid w:val="004E4F6B"/>
    <w:rsid w:val="004E6FBA"/>
    <w:rsid w:val="004E7311"/>
    <w:rsid w:val="004E7CC8"/>
    <w:rsid w:val="004E7FEC"/>
    <w:rsid w:val="004F02E1"/>
    <w:rsid w:val="004F0435"/>
    <w:rsid w:val="004F1639"/>
    <w:rsid w:val="004F2173"/>
    <w:rsid w:val="004F3877"/>
    <w:rsid w:val="004F6377"/>
    <w:rsid w:val="004F64C0"/>
    <w:rsid w:val="004F67B0"/>
    <w:rsid w:val="004F6CCB"/>
    <w:rsid w:val="004F72C4"/>
    <w:rsid w:val="004F7346"/>
    <w:rsid w:val="004F7990"/>
    <w:rsid w:val="004F7FE7"/>
    <w:rsid w:val="0050005D"/>
    <w:rsid w:val="00500199"/>
    <w:rsid w:val="00503DB4"/>
    <w:rsid w:val="005050E2"/>
    <w:rsid w:val="00505688"/>
    <w:rsid w:val="00505954"/>
    <w:rsid w:val="00507EB9"/>
    <w:rsid w:val="00510206"/>
    <w:rsid w:val="00511764"/>
    <w:rsid w:val="00512A65"/>
    <w:rsid w:val="005138E4"/>
    <w:rsid w:val="00514B99"/>
    <w:rsid w:val="00515720"/>
    <w:rsid w:val="005169DE"/>
    <w:rsid w:val="005179D6"/>
    <w:rsid w:val="005208B0"/>
    <w:rsid w:val="00522241"/>
    <w:rsid w:val="00523EE5"/>
    <w:rsid w:val="0052416D"/>
    <w:rsid w:val="0052431E"/>
    <w:rsid w:val="005254ED"/>
    <w:rsid w:val="00525D32"/>
    <w:rsid w:val="00526C3C"/>
    <w:rsid w:val="005279E8"/>
    <w:rsid w:val="00527F66"/>
    <w:rsid w:val="005300D0"/>
    <w:rsid w:val="00530464"/>
    <w:rsid w:val="00532A70"/>
    <w:rsid w:val="00533997"/>
    <w:rsid w:val="005358BA"/>
    <w:rsid w:val="00535C59"/>
    <w:rsid w:val="00535EF4"/>
    <w:rsid w:val="00535FE7"/>
    <w:rsid w:val="00536E1E"/>
    <w:rsid w:val="0054047F"/>
    <w:rsid w:val="00540F90"/>
    <w:rsid w:val="00541109"/>
    <w:rsid w:val="00541E1F"/>
    <w:rsid w:val="00542B95"/>
    <w:rsid w:val="00544791"/>
    <w:rsid w:val="005449C7"/>
    <w:rsid w:val="00545204"/>
    <w:rsid w:val="00545346"/>
    <w:rsid w:val="00546049"/>
    <w:rsid w:val="00546DBD"/>
    <w:rsid w:val="005472F1"/>
    <w:rsid w:val="00547C3E"/>
    <w:rsid w:val="00551053"/>
    <w:rsid w:val="00551274"/>
    <w:rsid w:val="005518C0"/>
    <w:rsid w:val="00553483"/>
    <w:rsid w:val="00553652"/>
    <w:rsid w:val="00554AEB"/>
    <w:rsid w:val="00554CA3"/>
    <w:rsid w:val="00555AC3"/>
    <w:rsid w:val="00555BE2"/>
    <w:rsid w:val="00556347"/>
    <w:rsid w:val="00556A98"/>
    <w:rsid w:val="00556F2F"/>
    <w:rsid w:val="00556F59"/>
    <w:rsid w:val="005570ED"/>
    <w:rsid w:val="00560192"/>
    <w:rsid w:val="005607D7"/>
    <w:rsid w:val="005618AD"/>
    <w:rsid w:val="00562829"/>
    <w:rsid w:val="00565D0E"/>
    <w:rsid w:val="005667C3"/>
    <w:rsid w:val="005671B2"/>
    <w:rsid w:val="005673B1"/>
    <w:rsid w:val="00567561"/>
    <w:rsid w:val="00567790"/>
    <w:rsid w:val="00567A27"/>
    <w:rsid w:val="00567D20"/>
    <w:rsid w:val="0057125C"/>
    <w:rsid w:val="0057206B"/>
    <w:rsid w:val="005721CD"/>
    <w:rsid w:val="00573D37"/>
    <w:rsid w:val="0057530E"/>
    <w:rsid w:val="0057737A"/>
    <w:rsid w:val="00580144"/>
    <w:rsid w:val="00580E44"/>
    <w:rsid w:val="005824BF"/>
    <w:rsid w:val="00583399"/>
    <w:rsid w:val="00583853"/>
    <w:rsid w:val="00583D34"/>
    <w:rsid w:val="005856FB"/>
    <w:rsid w:val="00585855"/>
    <w:rsid w:val="00585B35"/>
    <w:rsid w:val="0058758B"/>
    <w:rsid w:val="005924AB"/>
    <w:rsid w:val="005934D9"/>
    <w:rsid w:val="00593E76"/>
    <w:rsid w:val="00594D3B"/>
    <w:rsid w:val="005959C1"/>
    <w:rsid w:val="00595AAC"/>
    <w:rsid w:val="005978B7"/>
    <w:rsid w:val="00597DB4"/>
    <w:rsid w:val="005A0233"/>
    <w:rsid w:val="005A0F86"/>
    <w:rsid w:val="005A3707"/>
    <w:rsid w:val="005A47FD"/>
    <w:rsid w:val="005A604D"/>
    <w:rsid w:val="005A6EC1"/>
    <w:rsid w:val="005A74D1"/>
    <w:rsid w:val="005A7AA6"/>
    <w:rsid w:val="005B1808"/>
    <w:rsid w:val="005B230F"/>
    <w:rsid w:val="005B4457"/>
    <w:rsid w:val="005B4764"/>
    <w:rsid w:val="005B4CD6"/>
    <w:rsid w:val="005B55B0"/>
    <w:rsid w:val="005B66BE"/>
    <w:rsid w:val="005B6B24"/>
    <w:rsid w:val="005B6BF3"/>
    <w:rsid w:val="005C0869"/>
    <w:rsid w:val="005C15CE"/>
    <w:rsid w:val="005C17AE"/>
    <w:rsid w:val="005C322E"/>
    <w:rsid w:val="005C3E4A"/>
    <w:rsid w:val="005C4FD4"/>
    <w:rsid w:val="005C6927"/>
    <w:rsid w:val="005C69FD"/>
    <w:rsid w:val="005C7685"/>
    <w:rsid w:val="005D0100"/>
    <w:rsid w:val="005D19A0"/>
    <w:rsid w:val="005D2164"/>
    <w:rsid w:val="005D2AA0"/>
    <w:rsid w:val="005D371D"/>
    <w:rsid w:val="005D3901"/>
    <w:rsid w:val="005D3D7F"/>
    <w:rsid w:val="005D4822"/>
    <w:rsid w:val="005D6B6E"/>
    <w:rsid w:val="005D72F9"/>
    <w:rsid w:val="005E032E"/>
    <w:rsid w:val="005E0F3D"/>
    <w:rsid w:val="005E29A1"/>
    <w:rsid w:val="005E46C9"/>
    <w:rsid w:val="005E4964"/>
    <w:rsid w:val="005E4AE6"/>
    <w:rsid w:val="005F10DD"/>
    <w:rsid w:val="005F1299"/>
    <w:rsid w:val="005F1C4B"/>
    <w:rsid w:val="005F2A56"/>
    <w:rsid w:val="005F438C"/>
    <w:rsid w:val="005F4984"/>
    <w:rsid w:val="005F4E52"/>
    <w:rsid w:val="00600189"/>
    <w:rsid w:val="0060024C"/>
    <w:rsid w:val="006033F2"/>
    <w:rsid w:val="006054F4"/>
    <w:rsid w:val="00605CF9"/>
    <w:rsid w:val="00605FDD"/>
    <w:rsid w:val="006061A0"/>
    <w:rsid w:val="00606BBB"/>
    <w:rsid w:val="00607318"/>
    <w:rsid w:val="0060779A"/>
    <w:rsid w:val="006115BD"/>
    <w:rsid w:val="006119D2"/>
    <w:rsid w:val="00611A2E"/>
    <w:rsid w:val="00611AB3"/>
    <w:rsid w:val="00612C87"/>
    <w:rsid w:val="00613905"/>
    <w:rsid w:val="00616B68"/>
    <w:rsid w:val="0062024F"/>
    <w:rsid w:val="00621030"/>
    <w:rsid w:val="006221C3"/>
    <w:rsid w:val="00623E43"/>
    <w:rsid w:val="0062423B"/>
    <w:rsid w:val="0062530A"/>
    <w:rsid w:val="00627641"/>
    <w:rsid w:val="00627E74"/>
    <w:rsid w:val="006301E5"/>
    <w:rsid w:val="00630E18"/>
    <w:rsid w:val="006322B4"/>
    <w:rsid w:val="00632F61"/>
    <w:rsid w:val="00632F67"/>
    <w:rsid w:val="006331CA"/>
    <w:rsid w:val="00633D10"/>
    <w:rsid w:val="00634E4E"/>
    <w:rsid w:val="006350A3"/>
    <w:rsid w:val="006350F2"/>
    <w:rsid w:val="006370A2"/>
    <w:rsid w:val="00637948"/>
    <w:rsid w:val="00637A2D"/>
    <w:rsid w:val="00640A69"/>
    <w:rsid w:val="006412FE"/>
    <w:rsid w:val="00641609"/>
    <w:rsid w:val="00643BE1"/>
    <w:rsid w:val="0064499F"/>
    <w:rsid w:val="00645C44"/>
    <w:rsid w:val="00646CEC"/>
    <w:rsid w:val="00647015"/>
    <w:rsid w:val="00647AC0"/>
    <w:rsid w:val="00647D88"/>
    <w:rsid w:val="00647F91"/>
    <w:rsid w:val="00650BD3"/>
    <w:rsid w:val="00654133"/>
    <w:rsid w:val="0065563D"/>
    <w:rsid w:val="00657E9B"/>
    <w:rsid w:val="0066053E"/>
    <w:rsid w:val="00660E35"/>
    <w:rsid w:val="00662F4F"/>
    <w:rsid w:val="00663042"/>
    <w:rsid w:val="00663E47"/>
    <w:rsid w:val="006645F0"/>
    <w:rsid w:val="00667115"/>
    <w:rsid w:val="0066719C"/>
    <w:rsid w:val="006672FA"/>
    <w:rsid w:val="00667CB7"/>
    <w:rsid w:val="0067012B"/>
    <w:rsid w:val="006707F3"/>
    <w:rsid w:val="006719EA"/>
    <w:rsid w:val="00673BB3"/>
    <w:rsid w:val="00674066"/>
    <w:rsid w:val="00676BFD"/>
    <w:rsid w:val="0067711A"/>
    <w:rsid w:val="00677A1E"/>
    <w:rsid w:val="006802D6"/>
    <w:rsid w:val="006827C7"/>
    <w:rsid w:val="0068282F"/>
    <w:rsid w:val="006844AF"/>
    <w:rsid w:val="00684ED4"/>
    <w:rsid w:val="00685728"/>
    <w:rsid w:val="00687156"/>
    <w:rsid w:val="00687410"/>
    <w:rsid w:val="00687BFF"/>
    <w:rsid w:val="00691348"/>
    <w:rsid w:val="00693326"/>
    <w:rsid w:val="0069405E"/>
    <w:rsid w:val="00694608"/>
    <w:rsid w:val="0069594B"/>
    <w:rsid w:val="0069706D"/>
    <w:rsid w:val="0069734E"/>
    <w:rsid w:val="006974B0"/>
    <w:rsid w:val="00697C4F"/>
    <w:rsid w:val="00697D42"/>
    <w:rsid w:val="006A0466"/>
    <w:rsid w:val="006A0749"/>
    <w:rsid w:val="006A0B1D"/>
    <w:rsid w:val="006A11F3"/>
    <w:rsid w:val="006A2343"/>
    <w:rsid w:val="006A32F1"/>
    <w:rsid w:val="006A36C9"/>
    <w:rsid w:val="006A3C45"/>
    <w:rsid w:val="006A3C68"/>
    <w:rsid w:val="006A45F7"/>
    <w:rsid w:val="006A488B"/>
    <w:rsid w:val="006A65B7"/>
    <w:rsid w:val="006B0700"/>
    <w:rsid w:val="006B07B9"/>
    <w:rsid w:val="006B12E4"/>
    <w:rsid w:val="006B1715"/>
    <w:rsid w:val="006B1952"/>
    <w:rsid w:val="006B1A48"/>
    <w:rsid w:val="006B1E36"/>
    <w:rsid w:val="006B2742"/>
    <w:rsid w:val="006B2DD2"/>
    <w:rsid w:val="006B3F82"/>
    <w:rsid w:val="006B700E"/>
    <w:rsid w:val="006B70D3"/>
    <w:rsid w:val="006C0768"/>
    <w:rsid w:val="006C21B3"/>
    <w:rsid w:val="006C47E4"/>
    <w:rsid w:val="006C4A72"/>
    <w:rsid w:val="006C5180"/>
    <w:rsid w:val="006C589F"/>
    <w:rsid w:val="006C72F3"/>
    <w:rsid w:val="006D091A"/>
    <w:rsid w:val="006D0A2B"/>
    <w:rsid w:val="006D0CF6"/>
    <w:rsid w:val="006D1443"/>
    <w:rsid w:val="006D4245"/>
    <w:rsid w:val="006D4787"/>
    <w:rsid w:val="006D5EE1"/>
    <w:rsid w:val="006D6228"/>
    <w:rsid w:val="006E2AB6"/>
    <w:rsid w:val="006E3E9F"/>
    <w:rsid w:val="006E437C"/>
    <w:rsid w:val="006E54CA"/>
    <w:rsid w:val="006E5CB2"/>
    <w:rsid w:val="006F0063"/>
    <w:rsid w:val="006F03C6"/>
    <w:rsid w:val="006F0653"/>
    <w:rsid w:val="006F1923"/>
    <w:rsid w:val="006F1A19"/>
    <w:rsid w:val="006F26CB"/>
    <w:rsid w:val="006F2E69"/>
    <w:rsid w:val="006F3E00"/>
    <w:rsid w:val="006F51BD"/>
    <w:rsid w:val="006F60F3"/>
    <w:rsid w:val="0070146E"/>
    <w:rsid w:val="00701581"/>
    <w:rsid w:val="00702D13"/>
    <w:rsid w:val="0070336E"/>
    <w:rsid w:val="00703722"/>
    <w:rsid w:val="00703ECF"/>
    <w:rsid w:val="007042BE"/>
    <w:rsid w:val="00706C88"/>
    <w:rsid w:val="007073D4"/>
    <w:rsid w:val="00707BA9"/>
    <w:rsid w:val="007104A4"/>
    <w:rsid w:val="0071110B"/>
    <w:rsid w:val="00711158"/>
    <w:rsid w:val="00711449"/>
    <w:rsid w:val="00711987"/>
    <w:rsid w:val="007125DA"/>
    <w:rsid w:val="007141F3"/>
    <w:rsid w:val="00715026"/>
    <w:rsid w:val="0071525C"/>
    <w:rsid w:val="007158CA"/>
    <w:rsid w:val="007158FD"/>
    <w:rsid w:val="00715AC3"/>
    <w:rsid w:val="00715B8D"/>
    <w:rsid w:val="007167AF"/>
    <w:rsid w:val="00716FF7"/>
    <w:rsid w:val="00720365"/>
    <w:rsid w:val="00721357"/>
    <w:rsid w:val="00721E5E"/>
    <w:rsid w:val="00721E64"/>
    <w:rsid w:val="00723B55"/>
    <w:rsid w:val="00723C25"/>
    <w:rsid w:val="007257BA"/>
    <w:rsid w:val="00726C72"/>
    <w:rsid w:val="0072713E"/>
    <w:rsid w:val="007273AF"/>
    <w:rsid w:val="0073105B"/>
    <w:rsid w:val="007313EC"/>
    <w:rsid w:val="00733CED"/>
    <w:rsid w:val="00733F30"/>
    <w:rsid w:val="00735418"/>
    <w:rsid w:val="007406DC"/>
    <w:rsid w:val="007411F8"/>
    <w:rsid w:val="007414B9"/>
    <w:rsid w:val="00741AFF"/>
    <w:rsid w:val="00741B3A"/>
    <w:rsid w:val="00742953"/>
    <w:rsid w:val="0074295A"/>
    <w:rsid w:val="00742DF5"/>
    <w:rsid w:val="007432BF"/>
    <w:rsid w:val="0074530B"/>
    <w:rsid w:val="007460EF"/>
    <w:rsid w:val="007461AC"/>
    <w:rsid w:val="0074652D"/>
    <w:rsid w:val="00746850"/>
    <w:rsid w:val="007471BC"/>
    <w:rsid w:val="0075177E"/>
    <w:rsid w:val="00752B76"/>
    <w:rsid w:val="00752D23"/>
    <w:rsid w:val="00753586"/>
    <w:rsid w:val="0075388F"/>
    <w:rsid w:val="00753A2E"/>
    <w:rsid w:val="00754FE1"/>
    <w:rsid w:val="0075552B"/>
    <w:rsid w:val="007557D6"/>
    <w:rsid w:val="007558DC"/>
    <w:rsid w:val="00755B61"/>
    <w:rsid w:val="00756748"/>
    <w:rsid w:val="007569AC"/>
    <w:rsid w:val="00756F32"/>
    <w:rsid w:val="0075747A"/>
    <w:rsid w:val="0076007D"/>
    <w:rsid w:val="00760BCD"/>
    <w:rsid w:val="007612D9"/>
    <w:rsid w:val="00762C0C"/>
    <w:rsid w:val="007637B0"/>
    <w:rsid w:val="00763AF7"/>
    <w:rsid w:val="007702C8"/>
    <w:rsid w:val="00770A0D"/>
    <w:rsid w:val="00770CE4"/>
    <w:rsid w:val="00772999"/>
    <w:rsid w:val="00773D16"/>
    <w:rsid w:val="007759CD"/>
    <w:rsid w:val="00776FB1"/>
    <w:rsid w:val="00782683"/>
    <w:rsid w:val="00782C1C"/>
    <w:rsid w:val="007839DA"/>
    <w:rsid w:val="0078439C"/>
    <w:rsid w:val="0078462E"/>
    <w:rsid w:val="00784EC6"/>
    <w:rsid w:val="00786234"/>
    <w:rsid w:val="00791DE6"/>
    <w:rsid w:val="00794D49"/>
    <w:rsid w:val="00795294"/>
    <w:rsid w:val="007956F0"/>
    <w:rsid w:val="0079626E"/>
    <w:rsid w:val="007963CA"/>
    <w:rsid w:val="00797284"/>
    <w:rsid w:val="007A0137"/>
    <w:rsid w:val="007A1BE5"/>
    <w:rsid w:val="007A1E63"/>
    <w:rsid w:val="007A229F"/>
    <w:rsid w:val="007A27ED"/>
    <w:rsid w:val="007A2B5C"/>
    <w:rsid w:val="007A3409"/>
    <w:rsid w:val="007A3F16"/>
    <w:rsid w:val="007A5C0E"/>
    <w:rsid w:val="007A60D0"/>
    <w:rsid w:val="007A64D9"/>
    <w:rsid w:val="007A6815"/>
    <w:rsid w:val="007A7C99"/>
    <w:rsid w:val="007A7CD8"/>
    <w:rsid w:val="007B1195"/>
    <w:rsid w:val="007B18AF"/>
    <w:rsid w:val="007B198D"/>
    <w:rsid w:val="007B1D57"/>
    <w:rsid w:val="007B244A"/>
    <w:rsid w:val="007B2DEB"/>
    <w:rsid w:val="007B6914"/>
    <w:rsid w:val="007B7715"/>
    <w:rsid w:val="007C00BC"/>
    <w:rsid w:val="007C00BF"/>
    <w:rsid w:val="007C174D"/>
    <w:rsid w:val="007C1EB6"/>
    <w:rsid w:val="007C29CA"/>
    <w:rsid w:val="007C2D43"/>
    <w:rsid w:val="007C2DFE"/>
    <w:rsid w:val="007C32A7"/>
    <w:rsid w:val="007C39A0"/>
    <w:rsid w:val="007C650C"/>
    <w:rsid w:val="007C6B2B"/>
    <w:rsid w:val="007C7D35"/>
    <w:rsid w:val="007C7EAD"/>
    <w:rsid w:val="007D10C1"/>
    <w:rsid w:val="007D347A"/>
    <w:rsid w:val="007D463C"/>
    <w:rsid w:val="007D4D40"/>
    <w:rsid w:val="007D5199"/>
    <w:rsid w:val="007D6000"/>
    <w:rsid w:val="007D7909"/>
    <w:rsid w:val="007E0E6C"/>
    <w:rsid w:val="007E1515"/>
    <w:rsid w:val="007E1AB6"/>
    <w:rsid w:val="007E1FB9"/>
    <w:rsid w:val="007E2B25"/>
    <w:rsid w:val="007E2EBB"/>
    <w:rsid w:val="007E49BA"/>
    <w:rsid w:val="007E555D"/>
    <w:rsid w:val="007E5F0C"/>
    <w:rsid w:val="007E65DF"/>
    <w:rsid w:val="007E667D"/>
    <w:rsid w:val="007F01FB"/>
    <w:rsid w:val="007F04E5"/>
    <w:rsid w:val="007F1145"/>
    <w:rsid w:val="007F1A5F"/>
    <w:rsid w:val="007F1F17"/>
    <w:rsid w:val="007F233E"/>
    <w:rsid w:val="007F25A1"/>
    <w:rsid w:val="007F27E6"/>
    <w:rsid w:val="007F27EC"/>
    <w:rsid w:val="007F3954"/>
    <w:rsid w:val="007F59CD"/>
    <w:rsid w:val="007F6315"/>
    <w:rsid w:val="007F637E"/>
    <w:rsid w:val="007F67D5"/>
    <w:rsid w:val="007F793E"/>
    <w:rsid w:val="007F7C4A"/>
    <w:rsid w:val="00800A6D"/>
    <w:rsid w:val="00801333"/>
    <w:rsid w:val="008026EF"/>
    <w:rsid w:val="00803F83"/>
    <w:rsid w:val="00804174"/>
    <w:rsid w:val="00805D43"/>
    <w:rsid w:val="00805E5C"/>
    <w:rsid w:val="00806137"/>
    <w:rsid w:val="00807142"/>
    <w:rsid w:val="0080772F"/>
    <w:rsid w:val="008123FE"/>
    <w:rsid w:val="00813416"/>
    <w:rsid w:val="008136A6"/>
    <w:rsid w:val="008144F2"/>
    <w:rsid w:val="00814915"/>
    <w:rsid w:val="00817B6F"/>
    <w:rsid w:val="00820848"/>
    <w:rsid w:val="00820C72"/>
    <w:rsid w:val="0082238E"/>
    <w:rsid w:val="008232A1"/>
    <w:rsid w:val="00823F47"/>
    <w:rsid w:val="00824C5E"/>
    <w:rsid w:val="00824E5D"/>
    <w:rsid w:val="00825475"/>
    <w:rsid w:val="00826D3F"/>
    <w:rsid w:val="00827F3C"/>
    <w:rsid w:val="00830D13"/>
    <w:rsid w:val="00830EF3"/>
    <w:rsid w:val="008321E7"/>
    <w:rsid w:val="00834954"/>
    <w:rsid w:val="00834FBA"/>
    <w:rsid w:val="00835C4F"/>
    <w:rsid w:val="00835F5A"/>
    <w:rsid w:val="00837617"/>
    <w:rsid w:val="008377A3"/>
    <w:rsid w:val="00837AAF"/>
    <w:rsid w:val="00840182"/>
    <w:rsid w:val="00840837"/>
    <w:rsid w:val="008417DC"/>
    <w:rsid w:val="008419B4"/>
    <w:rsid w:val="00841D15"/>
    <w:rsid w:val="0084233D"/>
    <w:rsid w:val="00842624"/>
    <w:rsid w:val="008437E7"/>
    <w:rsid w:val="00844584"/>
    <w:rsid w:val="008449C0"/>
    <w:rsid w:val="008458AC"/>
    <w:rsid w:val="00845ABF"/>
    <w:rsid w:val="00845EF1"/>
    <w:rsid w:val="008465B9"/>
    <w:rsid w:val="00847248"/>
    <w:rsid w:val="0084730A"/>
    <w:rsid w:val="00847860"/>
    <w:rsid w:val="008502F1"/>
    <w:rsid w:val="008503BA"/>
    <w:rsid w:val="00850E28"/>
    <w:rsid w:val="008511B3"/>
    <w:rsid w:val="008513A6"/>
    <w:rsid w:val="00851A25"/>
    <w:rsid w:val="00853BA8"/>
    <w:rsid w:val="00853BE1"/>
    <w:rsid w:val="00853F04"/>
    <w:rsid w:val="00855124"/>
    <w:rsid w:val="00855130"/>
    <w:rsid w:val="008558EB"/>
    <w:rsid w:val="00856953"/>
    <w:rsid w:val="0085698D"/>
    <w:rsid w:val="008569EB"/>
    <w:rsid w:val="00857543"/>
    <w:rsid w:val="00857C09"/>
    <w:rsid w:val="00860438"/>
    <w:rsid w:val="00860B07"/>
    <w:rsid w:val="0086307A"/>
    <w:rsid w:val="00863BE0"/>
    <w:rsid w:val="00863C4D"/>
    <w:rsid w:val="008651FE"/>
    <w:rsid w:val="008660C5"/>
    <w:rsid w:val="0086640C"/>
    <w:rsid w:val="00867C4D"/>
    <w:rsid w:val="00870317"/>
    <w:rsid w:val="008703F7"/>
    <w:rsid w:val="00870FA4"/>
    <w:rsid w:val="00872009"/>
    <w:rsid w:val="008729AE"/>
    <w:rsid w:val="008737EA"/>
    <w:rsid w:val="00874C7D"/>
    <w:rsid w:val="00877D83"/>
    <w:rsid w:val="008801E0"/>
    <w:rsid w:val="00880A9B"/>
    <w:rsid w:val="00881E02"/>
    <w:rsid w:val="008827C7"/>
    <w:rsid w:val="0088477D"/>
    <w:rsid w:val="00884C42"/>
    <w:rsid w:val="008858F7"/>
    <w:rsid w:val="00886B95"/>
    <w:rsid w:val="00887BD3"/>
    <w:rsid w:val="008909FF"/>
    <w:rsid w:val="00890C90"/>
    <w:rsid w:val="008918C7"/>
    <w:rsid w:val="00895BF6"/>
    <w:rsid w:val="00897826"/>
    <w:rsid w:val="008A0AF5"/>
    <w:rsid w:val="008A111D"/>
    <w:rsid w:val="008A1758"/>
    <w:rsid w:val="008A3CA1"/>
    <w:rsid w:val="008A480F"/>
    <w:rsid w:val="008A4969"/>
    <w:rsid w:val="008A4C1A"/>
    <w:rsid w:val="008A5469"/>
    <w:rsid w:val="008A609F"/>
    <w:rsid w:val="008A65C5"/>
    <w:rsid w:val="008A68F1"/>
    <w:rsid w:val="008B1C1E"/>
    <w:rsid w:val="008B219D"/>
    <w:rsid w:val="008B2A3C"/>
    <w:rsid w:val="008B39DD"/>
    <w:rsid w:val="008B54EF"/>
    <w:rsid w:val="008B66DF"/>
    <w:rsid w:val="008B71AD"/>
    <w:rsid w:val="008C0E01"/>
    <w:rsid w:val="008C0F43"/>
    <w:rsid w:val="008C101A"/>
    <w:rsid w:val="008C231D"/>
    <w:rsid w:val="008C321A"/>
    <w:rsid w:val="008C3EF0"/>
    <w:rsid w:val="008C4167"/>
    <w:rsid w:val="008C4273"/>
    <w:rsid w:val="008C5747"/>
    <w:rsid w:val="008C604B"/>
    <w:rsid w:val="008C7398"/>
    <w:rsid w:val="008C7E22"/>
    <w:rsid w:val="008D095A"/>
    <w:rsid w:val="008D0AE1"/>
    <w:rsid w:val="008D0E2A"/>
    <w:rsid w:val="008D0F9A"/>
    <w:rsid w:val="008D114F"/>
    <w:rsid w:val="008D141E"/>
    <w:rsid w:val="008D1C95"/>
    <w:rsid w:val="008D2D37"/>
    <w:rsid w:val="008D36E5"/>
    <w:rsid w:val="008D467D"/>
    <w:rsid w:val="008D6956"/>
    <w:rsid w:val="008D7035"/>
    <w:rsid w:val="008D70AA"/>
    <w:rsid w:val="008D765E"/>
    <w:rsid w:val="008D77E8"/>
    <w:rsid w:val="008D7936"/>
    <w:rsid w:val="008D7E00"/>
    <w:rsid w:val="008E0986"/>
    <w:rsid w:val="008E21A9"/>
    <w:rsid w:val="008E2347"/>
    <w:rsid w:val="008E2402"/>
    <w:rsid w:val="008E2EF8"/>
    <w:rsid w:val="008E3258"/>
    <w:rsid w:val="008E42C3"/>
    <w:rsid w:val="008E4940"/>
    <w:rsid w:val="008E4CDD"/>
    <w:rsid w:val="008E5960"/>
    <w:rsid w:val="008E5EA6"/>
    <w:rsid w:val="008E727C"/>
    <w:rsid w:val="008E74A5"/>
    <w:rsid w:val="008E7B8B"/>
    <w:rsid w:val="008F0CD4"/>
    <w:rsid w:val="008F0E5B"/>
    <w:rsid w:val="008F1618"/>
    <w:rsid w:val="008F1ECE"/>
    <w:rsid w:val="008F2720"/>
    <w:rsid w:val="008F2B7E"/>
    <w:rsid w:val="008F2EAC"/>
    <w:rsid w:val="008F48A7"/>
    <w:rsid w:val="008F51C0"/>
    <w:rsid w:val="008F5D2E"/>
    <w:rsid w:val="00900070"/>
    <w:rsid w:val="009005D5"/>
    <w:rsid w:val="00901D6F"/>
    <w:rsid w:val="009035EF"/>
    <w:rsid w:val="0090371B"/>
    <w:rsid w:val="0090379C"/>
    <w:rsid w:val="009037E9"/>
    <w:rsid w:val="00904A23"/>
    <w:rsid w:val="00905B0C"/>
    <w:rsid w:val="00911F60"/>
    <w:rsid w:val="0091283E"/>
    <w:rsid w:val="009143A9"/>
    <w:rsid w:val="00915CA3"/>
    <w:rsid w:val="0091713B"/>
    <w:rsid w:val="00920385"/>
    <w:rsid w:val="00920566"/>
    <w:rsid w:val="00920DAD"/>
    <w:rsid w:val="00922115"/>
    <w:rsid w:val="009222CC"/>
    <w:rsid w:val="00922CD6"/>
    <w:rsid w:val="00924218"/>
    <w:rsid w:val="00924877"/>
    <w:rsid w:val="00925818"/>
    <w:rsid w:val="009264D9"/>
    <w:rsid w:val="00926678"/>
    <w:rsid w:val="009266A8"/>
    <w:rsid w:val="00927410"/>
    <w:rsid w:val="0092741F"/>
    <w:rsid w:val="00930B23"/>
    <w:rsid w:val="00930BAD"/>
    <w:rsid w:val="0093103C"/>
    <w:rsid w:val="00931506"/>
    <w:rsid w:val="0093156D"/>
    <w:rsid w:val="00934C11"/>
    <w:rsid w:val="00934DB8"/>
    <w:rsid w:val="009359BB"/>
    <w:rsid w:val="0093674A"/>
    <w:rsid w:val="00937010"/>
    <w:rsid w:val="0093738D"/>
    <w:rsid w:val="0093772E"/>
    <w:rsid w:val="00937DD1"/>
    <w:rsid w:val="00937EBD"/>
    <w:rsid w:val="00940015"/>
    <w:rsid w:val="009400CC"/>
    <w:rsid w:val="00940935"/>
    <w:rsid w:val="00940DFF"/>
    <w:rsid w:val="00941D2D"/>
    <w:rsid w:val="0094220F"/>
    <w:rsid w:val="00942386"/>
    <w:rsid w:val="00942571"/>
    <w:rsid w:val="00943F61"/>
    <w:rsid w:val="00944469"/>
    <w:rsid w:val="00944F58"/>
    <w:rsid w:val="009477E1"/>
    <w:rsid w:val="00947868"/>
    <w:rsid w:val="0095028A"/>
    <w:rsid w:val="00950601"/>
    <w:rsid w:val="009508EA"/>
    <w:rsid w:val="00950EDD"/>
    <w:rsid w:val="009518D0"/>
    <w:rsid w:val="00951E20"/>
    <w:rsid w:val="009523B5"/>
    <w:rsid w:val="009537A2"/>
    <w:rsid w:val="0095721D"/>
    <w:rsid w:val="00957E7B"/>
    <w:rsid w:val="00961FE4"/>
    <w:rsid w:val="00962534"/>
    <w:rsid w:val="00962F05"/>
    <w:rsid w:val="009636F4"/>
    <w:rsid w:val="00963C88"/>
    <w:rsid w:val="00964687"/>
    <w:rsid w:val="00964783"/>
    <w:rsid w:val="00966FD9"/>
    <w:rsid w:val="009676B5"/>
    <w:rsid w:val="00971743"/>
    <w:rsid w:val="00971908"/>
    <w:rsid w:val="00972F8E"/>
    <w:rsid w:val="00974D84"/>
    <w:rsid w:val="00975B18"/>
    <w:rsid w:val="00975F62"/>
    <w:rsid w:val="00976EBC"/>
    <w:rsid w:val="00977F26"/>
    <w:rsid w:val="009800C9"/>
    <w:rsid w:val="00980401"/>
    <w:rsid w:val="00980950"/>
    <w:rsid w:val="0098150E"/>
    <w:rsid w:val="009818F2"/>
    <w:rsid w:val="00982512"/>
    <w:rsid w:val="00983231"/>
    <w:rsid w:val="009836CB"/>
    <w:rsid w:val="00983D8D"/>
    <w:rsid w:val="00983E20"/>
    <w:rsid w:val="00985133"/>
    <w:rsid w:val="009874AB"/>
    <w:rsid w:val="009875D5"/>
    <w:rsid w:val="0099005A"/>
    <w:rsid w:val="0099070D"/>
    <w:rsid w:val="0099152F"/>
    <w:rsid w:val="0099181B"/>
    <w:rsid w:val="00994CDF"/>
    <w:rsid w:val="00995548"/>
    <w:rsid w:val="00996C82"/>
    <w:rsid w:val="0099748C"/>
    <w:rsid w:val="009979B0"/>
    <w:rsid w:val="00997F03"/>
    <w:rsid w:val="009A0401"/>
    <w:rsid w:val="009A0675"/>
    <w:rsid w:val="009A0A70"/>
    <w:rsid w:val="009A10A2"/>
    <w:rsid w:val="009A2041"/>
    <w:rsid w:val="009A3186"/>
    <w:rsid w:val="009A5AEC"/>
    <w:rsid w:val="009A6580"/>
    <w:rsid w:val="009A66AA"/>
    <w:rsid w:val="009A7622"/>
    <w:rsid w:val="009A774D"/>
    <w:rsid w:val="009B013D"/>
    <w:rsid w:val="009B06CD"/>
    <w:rsid w:val="009B0DAD"/>
    <w:rsid w:val="009B0FAE"/>
    <w:rsid w:val="009B18BA"/>
    <w:rsid w:val="009B2354"/>
    <w:rsid w:val="009B2583"/>
    <w:rsid w:val="009B2C4C"/>
    <w:rsid w:val="009B2F8C"/>
    <w:rsid w:val="009B34EE"/>
    <w:rsid w:val="009B37F9"/>
    <w:rsid w:val="009B5C16"/>
    <w:rsid w:val="009B61AE"/>
    <w:rsid w:val="009B748E"/>
    <w:rsid w:val="009C0D07"/>
    <w:rsid w:val="009C100C"/>
    <w:rsid w:val="009C1B79"/>
    <w:rsid w:val="009C1C5C"/>
    <w:rsid w:val="009C54E8"/>
    <w:rsid w:val="009C6579"/>
    <w:rsid w:val="009C7AF2"/>
    <w:rsid w:val="009D011E"/>
    <w:rsid w:val="009D0C9A"/>
    <w:rsid w:val="009D255A"/>
    <w:rsid w:val="009D3050"/>
    <w:rsid w:val="009D36C7"/>
    <w:rsid w:val="009D5E36"/>
    <w:rsid w:val="009E00AC"/>
    <w:rsid w:val="009E09DE"/>
    <w:rsid w:val="009E35D8"/>
    <w:rsid w:val="009E3A75"/>
    <w:rsid w:val="009E40DA"/>
    <w:rsid w:val="009E47CA"/>
    <w:rsid w:val="009E53A9"/>
    <w:rsid w:val="009E5769"/>
    <w:rsid w:val="009E683C"/>
    <w:rsid w:val="009E6FA6"/>
    <w:rsid w:val="009E7AA1"/>
    <w:rsid w:val="009E7E70"/>
    <w:rsid w:val="009E7F57"/>
    <w:rsid w:val="009F04BE"/>
    <w:rsid w:val="009F064E"/>
    <w:rsid w:val="009F11FB"/>
    <w:rsid w:val="009F1C86"/>
    <w:rsid w:val="009F32C3"/>
    <w:rsid w:val="009F414C"/>
    <w:rsid w:val="009F467A"/>
    <w:rsid w:val="009F5D72"/>
    <w:rsid w:val="009F6578"/>
    <w:rsid w:val="009F65A4"/>
    <w:rsid w:val="009F7362"/>
    <w:rsid w:val="009F745A"/>
    <w:rsid w:val="00A00B8B"/>
    <w:rsid w:val="00A00DD6"/>
    <w:rsid w:val="00A01DAA"/>
    <w:rsid w:val="00A0226F"/>
    <w:rsid w:val="00A02335"/>
    <w:rsid w:val="00A02D83"/>
    <w:rsid w:val="00A03EE7"/>
    <w:rsid w:val="00A03F62"/>
    <w:rsid w:val="00A0472A"/>
    <w:rsid w:val="00A047C1"/>
    <w:rsid w:val="00A050D2"/>
    <w:rsid w:val="00A056E9"/>
    <w:rsid w:val="00A05B56"/>
    <w:rsid w:val="00A05D00"/>
    <w:rsid w:val="00A12178"/>
    <w:rsid w:val="00A12277"/>
    <w:rsid w:val="00A129FC"/>
    <w:rsid w:val="00A139E0"/>
    <w:rsid w:val="00A1470D"/>
    <w:rsid w:val="00A15B17"/>
    <w:rsid w:val="00A15F9D"/>
    <w:rsid w:val="00A16702"/>
    <w:rsid w:val="00A171D7"/>
    <w:rsid w:val="00A17464"/>
    <w:rsid w:val="00A1761E"/>
    <w:rsid w:val="00A2066C"/>
    <w:rsid w:val="00A20823"/>
    <w:rsid w:val="00A2305A"/>
    <w:rsid w:val="00A24313"/>
    <w:rsid w:val="00A246C5"/>
    <w:rsid w:val="00A24ABF"/>
    <w:rsid w:val="00A266AF"/>
    <w:rsid w:val="00A26CB0"/>
    <w:rsid w:val="00A26FAA"/>
    <w:rsid w:val="00A2746E"/>
    <w:rsid w:val="00A27729"/>
    <w:rsid w:val="00A30795"/>
    <w:rsid w:val="00A30F7D"/>
    <w:rsid w:val="00A316C9"/>
    <w:rsid w:val="00A318D5"/>
    <w:rsid w:val="00A33068"/>
    <w:rsid w:val="00A333CF"/>
    <w:rsid w:val="00A36779"/>
    <w:rsid w:val="00A37D5E"/>
    <w:rsid w:val="00A41AD1"/>
    <w:rsid w:val="00A41BCA"/>
    <w:rsid w:val="00A42B99"/>
    <w:rsid w:val="00A43C77"/>
    <w:rsid w:val="00A4455F"/>
    <w:rsid w:val="00A458F2"/>
    <w:rsid w:val="00A45F98"/>
    <w:rsid w:val="00A45FAF"/>
    <w:rsid w:val="00A4613F"/>
    <w:rsid w:val="00A4729D"/>
    <w:rsid w:val="00A47D86"/>
    <w:rsid w:val="00A517D2"/>
    <w:rsid w:val="00A51C39"/>
    <w:rsid w:val="00A5405A"/>
    <w:rsid w:val="00A54B72"/>
    <w:rsid w:val="00A54F8A"/>
    <w:rsid w:val="00A5644B"/>
    <w:rsid w:val="00A56535"/>
    <w:rsid w:val="00A56CDB"/>
    <w:rsid w:val="00A60620"/>
    <w:rsid w:val="00A61255"/>
    <w:rsid w:val="00A6372B"/>
    <w:rsid w:val="00A64A88"/>
    <w:rsid w:val="00A64DF3"/>
    <w:rsid w:val="00A655D1"/>
    <w:rsid w:val="00A704A5"/>
    <w:rsid w:val="00A71EAD"/>
    <w:rsid w:val="00A727FC"/>
    <w:rsid w:val="00A73DF0"/>
    <w:rsid w:val="00A74CE8"/>
    <w:rsid w:val="00A74E9D"/>
    <w:rsid w:val="00A75A93"/>
    <w:rsid w:val="00A760B7"/>
    <w:rsid w:val="00A76C7B"/>
    <w:rsid w:val="00A77FD1"/>
    <w:rsid w:val="00A802CB"/>
    <w:rsid w:val="00A804B8"/>
    <w:rsid w:val="00A80819"/>
    <w:rsid w:val="00A8133F"/>
    <w:rsid w:val="00A82464"/>
    <w:rsid w:val="00A82603"/>
    <w:rsid w:val="00A82E8F"/>
    <w:rsid w:val="00A83196"/>
    <w:rsid w:val="00A8333E"/>
    <w:rsid w:val="00A8360D"/>
    <w:rsid w:val="00A84163"/>
    <w:rsid w:val="00A860A6"/>
    <w:rsid w:val="00A8689D"/>
    <w:rsid w:val="00A87875"/>
    <w:rsid w:val="00A920E6"/>
    <w:rsid w:val="00A93CC0"/>
    <w:rsid w:val="00A9436F"/>
    <w:rsid w:val="00A947F3"/>
    <w:rsid w:val="00A95E82"/>
    <w:rsid w:val="00A963DF"/>
    <w:rsid w:val="00A9727F"/>
    <w:rsid w:val="00A97524"/>
    <w:rsid w:val="00AA0304"/>
    <w:rsid w:val="00AA061E"/>
    <w:rsid w:val="00AA2AA5"/>
    <w:rsid w:val="00AA2D73"/>
    <w:rsid w:val="00AA4C91"/>
    <w:rsid w:val="00AA5617"/>
    <w:rsid w:val="00AA5677"/>
    <w:rsid w:val="00AA58FE"/>
    <w:rsid w:val="00AA5E1F"/>
    <w:rsid w:val="00AA5F35"/>
    <w:rsid w:val="00AA6E24"/>
    <w:rsid w:val="00AA75F4"/>
    <w:rsid w:val="00AA7749"/>
    <w:rsid w:val="00AB1064"/>
    <w:rsid w:val="00AB187C"/>
    <w:rsid w:val="00AB196E"/>
    <w:rsid w:val="00AB2FB5"/>
    <w:rsid w:val="00AB3A03"/>
    <w:rsid w:val="00AB3CA0"/>
    <w:rsid w:val="00AB400D"/>
    <w:rsid w:val="00AB43FB"/>
    <w:rsid w:val="00AB56A2"/>
    <w:rsid w:val="00AB642C"/>
    <w:rsid w:val="00AB6ABA"/>
    <w:rsid w:val="00AC001E"/>
    <w:rsid w:val="00AC0259"/>
    <w:rsid w:val="00AC0620"/>
    <w:rsid w:val="00AC10D2"/>
    <w:rsid w:val="00AC265C"/>
    <w:rsid w:val="00AC2777"/>
    <w:rsid w:val="00AC318E"/>
    <w:rsid w:val="00AC319C"/>
    <w:rsid w:val="00AC345C"/>
    <w:rsid w:val="00AC4CD2"/>
    <w:rsid w:val="00AC5740"/>
    <w:rsid w:val="00AC6691"/>
    <w:rsid w:val="00AC752D"/>
    <w:rsid w:val="00AD1A1A"/>
    <w:rsid w:val="00AD6172"/>
    <w:rsid w:val="00AD676B"/>
    <w:rsid w:val="00AD6E11"/>
    <w:rsid w:val="00AE024D"/>
    <w:rsid w:val="00AE0CC0"/>
    <w:rsid w:val="00AE0DA3"/>
    <w:rsid w:val="00AE1064"/>
    <w:rsid w:val="00AE1613"/>
    <w:rsid w:val="00AE198A"/>
    <w:rsid w:val="00AE1D72"/>
    <w:rsid w:val="00AE2010"/>
    <w:rsid w:val="00AE242E"/>
    <w:rsid w:val="00AE28E7"/>
    <w:rsid w:val="00AE33AD"/>
    <w:rsid w:val="00AE4814"/>
    <w:rsid w:val="00AE4F42"/>
    <w:rsid w:val="00AE5CDD"/>
    <w:rsid w:val="00AE6F23"/>
    <w:rsid w:val="00AE776B"/>
    <w:rsid w:val="00AF057B"/>
    <w:rsid w:val="00AF16D7"/>
    <w:rsid w:val="00AF233D"/>
    <w:rsid w:val="00AF2E7F"/>
    <w:rsid w:val="00AF4C8A"/>
    <w:rsid w:val="00AF5255"/>
    <w:rsid w:val="00AF5A61"/>
    <w:rsid w:val="00AF5E6A"/>
    <w:rsid w:val="00B00876"/>
    <w:rsid w:val="00B00F5C"/>
    <w:rsid w:val="00B02526"/>
    <w:rsid w:val="00B02F54"/>
    <w:rsid w:val="00B02F6C"/>
    <w:rsid w:val="00B04602"/>
    <w:rsid w:val="00B0754E"/>
    <w:rsid w:val="00B109E4"/>
    <w:rsid w:val="00B10BBD"/>
    <w:rsid w:val="00B10D5B"/>
    <w:rsid w:val="00B10DDD"/>
    <w:rsid w:val="00B122B3"/>
    <w:rsid w:val="00B12D00"/>
    <w:rsid w:val="00B12D3F"/>
    <w:rsid w:val="00B15950"/>
    <w:rsid w:val="00B15B3D"/>
    <w:rsid w:val="00B17265"/>
    <w:rsid w:val="00B217DA"/>
    <w:rsid w:val="00B21957"/>
    <w:rsid w:val="00B21A6B"/>
    <w:rsid w:val="00B221F5"/>
    <w:rsid w:val="00B249DC"/>
    <w:rsid w:val="00B24A01"/>
    <w:rsid w:val="00B2525C"/>
    <w:rsid w:val="00B26CB6"/>
    <w:rsid w:val="00B274D3"/>
    <w:rsid w:val="00B30587"/>
    <w:rsid w:val="00B312F7"/>
    <w:rsid w:val="00B316FD"/>
    <w:rsid w:val="00B321EB"/>
    <w:rsid w:val="00B3237C"/>
    <w:rsid w:val="00B32D07"/>
    <w:rsid w:val="00B337E5"/>
    <w:rsid w:val="00B33C3F"/>
    <w:rsid w:val="00B34206"/>
    <w:rsid w:val="00B34D98"/>
    <w:rsid w:val="00B37D9F"/>
    <w:rsid w:val="00B403D7"/>
    <w:rsid w:val="00B40894"/>
    <w:rsid w:val="00B417B9"/>
    <w:rsid w:val="00B43B1D"/>
    <w:rsid w:val="00B43CF7"/>
    <w:rsid w:val="00B4411E"/>
    <w:rsid w:val="00B44660"/>
    <w:rsid w:val="00B45130"/>
    <w:rsid w:val="00B45794"/>
    <w:rsid w:val="00B460CC"/>
    <w:rsid w:val="00B473A6"/>
    <w:rsid w:val="00B479C7"/>
    <w:rsid w:val="00B50273"/>
    <w:rsid w:val="00B504AF"/>
    <w:rsid w:val="00B51369"/>
    <w:rsid w:val="00B513E9"/>
    <w:rsid w:val="00B5231A"/>
    <w:rsid w:val="00B52C9B"/>
    <w:rsid w:val="00B53592"/>
    <w:rsid w:val="00B55136"/>
    <w:rsid w:val="00B55356"/>
    <w:rsid w:val="00B56B95"/>
    <w:rsid w:val="00B57D3C"/>
    <w:rsid w:val="00B57DE0"/>
    <w:rsid w:val="00B62EDF"/>
    <w:rsid w:val="00B6331E"/>
    <w:rsid w:val="00B658D0"/>
    <w:rsid w:val="00B6696B"/>
    <w:rsid w:val="00B66F14"/>
    <w:rsid w:val="00B677FB"/>
    <w:rsid w:val="00B70A1C"/>
    <w:rsid w:val="00B716EC"/>
    <w:rsid w:val="00B7191B"/>
    <w:rsid w:val="00B71973"/>
    <w:rsid w:val="00B72D7F"/>
    <w:rsid w:val="00B738CF"/>
    <w:rsid w:val="00B7466A"/>
    <w:rsid w:val="00B7491A"/>
    <w:rsid w:val="00B74CD5"/>
    <w:rsid w:val="00B772B2"/>
    <w:rsid w:val="00B7765F"/>
    <w:rsid w:val="00B77BAD"/>
    <w:rsid w:val="00B800ED"/>
    <w:rsid w:val="00B80499"/>
    <w:rsid w:val="00B80848"/>
    <w:rsid w:val="00B81E2F"/>
    <w:rsid w:val="00B82EC4"/>
    <w:rsid w:val="00B834A4"/>
    <w:rsid w:val="00B83FB0"/>
    <w:rsid w:val="00B84743"/>
    <w:rsid w:val="00B84D30"/>
    <w:rsid w:val="00B85C43"/>
    <w:rsid w:val="00B863BF"/>
    <w:rsid w:val="00B87434"/>
    <w:rsid w:val="00B905D1"/>
    <w:rsid w:val="00B90914"/>
    <w:rsid w:val="00B90922"/>
    <w:rsid w:val="00B909D4"/>
    <w:rsid w:val="00B9116E"/>
    <w:rsid w:val="00B91E19"/>
    <w:rsid w:val="00B92C28"/>
    <w:rsid w:val="00B940CE"/>
    <w:rsid w:val="00B94755"/>
    <w:rsid w:val="00B97BE7"/>
    <w:rsid w:val="00BA3F01"/>
    <w:rsid w:val="00BA4DE2"/>
    <w:rsid w:val="00BA5330"/>
    <w:rsid w:val="00BA561A"/>
    <w:rsid w:val="00BB016B"/>
    <w:rsid w:val="00BB0DBF"/>
    <w:rsid w:val="00BB1EBD"/>
    <w:rsid w:val="00BB2DE7"/>
    <w:rsid w:val="00BB38B7"/>
    <w:rsid w:val="00BB3D28"/>
    <w:rsid w:val="00BB5A39"/>
    <w:rsid w:val="00BB5BAB"/>
    <w:rsid w:val="00BB7A17"/>
    <w:rsid w:val="00BC0DE1"/>
    <w:rsid w:val="00BC1D02"/>
    <w:rsid w:val="00BC3429"/>
    <w:rsid w:val="00BC3635"/>
    <w:rsid w:val="00BC3979"/>
    <w:rsid w:val="00BC4CC9"/>
    <w:rsid w:val="00BC5005"/>
    <w:rsid w:val="00BC5622"/>
    <w:rsid w:val="00BC5AB6"/>
    <w:rsid w:val="00BC5C45"/>
    <w:rsid w:val="00BC5D9B"/>
    <w:rsid w:val="00BC67A1"/>
    <w:rsid w:val="00BD22A1"/>
    <w:rsid w:val="00BD5BE0"/>
    <w:rsid w:val="00BD7C84"/>
    <w:rsid w:val="00BE0626"/>
    <w:rsid w:val="00BE1F66"/>
    <w:rsid w:val="00BE274C"/>
    <w:rsid w:val="00BE3C10"/>
    <w:rsid w:val="00BE5B1F"/>
    <w:rsid w:val="00BE65FF"/>
    <w:rsid w:val="00BE7526"/>
    <w:rsid w:val="00BF1BA9"/>
    <w:rsid w:val="00BF1F82"/>
    <w:rsid w:val="00BF21CB"/>
    <w:rsid w:val="00BF304E"/>
    <w:rsid w:val="00BF401A"/>
    <w:rsid w:val="00BF429F"/>
    <w:rsid w:val="00BF4FFF"/>
    <w:rsid w:val="00BF5082"/>
    <w:rsid w:val="00C00B55"/>
    <w:rsid w:val="00C00E60"/>
    <w:rsid w:val="00C01053"/>
    <w:rsid w:val="00C01CB5"/>
    <w:rsid w:val="00C03403"/>
    <w:rsid w:val="00C045B1"/>
    <w:rsid w:val="00C049D5"/>
    <w:rsid w:val="00C05191"/>
    <w:rsid w:val="00C052D9"/>
    <w:rsid w:val="00C05AE3"/>
    <w:rsid w:val="00C070E7"/>
    <w:rsid w:val="00C10E3C"/>
    <w:rsid w:val="00C11684"/>
    <w:rsid w:val="00C1208D"/>
    <w:rsid w:val="00C124A1"/>
    <w:rsid w:val="00C129CC"/>
    <w:rsid w:val="00C12C6D"/>
    <w:rsid w:val="00C14E82"/>
    <w:rsid w:val="00C152A8"/>
    <w:rsid w:val="00C153E0"/>
    <w:rsid w:val="00C16166"/>
    <w:rsid w:val="00C16645"/>
    <w:rsid w:val="00C16862"/>
    <w:rsid w:val="00C168C1"/>
    <w:rsid w:val="00C16AC2"/>
    <w:rsid w:val="00C16DFA"/>
    <w:rsid w:val="00C16EDE"/>
    <w:rsid w:val="00C17536"/>
    <w:rsid w:val="00C20404"/>
    <w:rsid w:val="00C230C4"/>
    <w:rsid w:val="00C2382D"/>
    <w:rsid w:val="00C24969"/>
    <w:rsid w:val="00C2540E"/>
    <w:rsid w:val="00C25EAF"/>
    <w:rsid w:val="00C27402"/>
    <w:rsid w:val="00C275DA"/>
    <w:rsid w:val="00C27916"/>
    <w:rsid w:val="00C3025F"/>
    <w:rsid w:val="00C302BC"/>
    <w:rsid w:val="00C305A9"/>
    <w:rsid w:val="00C3191E"/>
    <w:rsid w:val="00C31F78"/>
    <w:rsid w:val="00C32EF5"/>
    <w:rsid w:val="00C3371A"/>
    <w:rsid w:val="00C339E9"/>
    <w:rsid w:val="00C33B44"/>
    <w:rsid w:val="00C34282"/>
    <w:rsid w:val="00C36223"/>
    <w:rsid w:val="00C37287"/>
    <w:rsid w:val="00C4150A"/>
    <w:rsid w:val="00C424B3"/>
    <w:rsid w:val="00C430ED"/>
    <w:rsid w:val="00C43519"/>
    <w:rsid w:val="00C439E7"/>
    <w:rsid w:val="00C456DB"/>
    <w:rsid w:val="00C45759"/>
    <w:rsid w:val="00C45DD2"/>
    <w:rsid w:val="00C46328"/>
    <w:rsid w:val="00C47514"/>
    <w:rsid w:val="00C5053E"/>
    <w:rsid w:val="00C50B16"/>
    <w:rsid w:val="00C50BA8"/>
    <w:rsid w:val="00C5372D"/>
    <w:rsid w:val="00C53761"/>
    <w:rsid w:val="00C53B2A"/>
    <w:rsid w:val="00C54173"/>
    <w:rsid w:val="00C55A19"/>
    <w:rsid w:val="00C56DBF"/>
    <w:rsid w:val="00C5736D"/>
    <w:rsid w:val="00C60BA9"/>
    <w:rsid w:val="00C60E3D"/>
    <w:rsid w:val="00C61604"/>
    <w:rsid w:val="00C62CA6"/>
    <w:rsid w:val="00C6349A"/>
    <w:rsid w:val="00C63F04"/>
    <w:rsid w:val="00C6420B"/>
    <w:rsid w:val="00C6446B"/>
    <w:rsid w:val="00C656B7"/>
    <w:rsid w:val="00C700E2"/>
    <w:rsid w:val="00C71078"/>
    <w:rsid w:val="00C72566"/>
    <w:rsid w:val="00C7421C"/>
    <w:rsid w:val="00C74E95"/>
    <w:rsid w:val="00C756E8"/>
    <w:rsid w:val="00C76475"/>
    <w:rsid w:val="00C76653"/>
    <w:rsid w:val="00C77260"/>
    <w:rsid w:val="00C77AAD"/>
    <w:rsid w:val="00C8057D"/>
    <w:rsid w:val="00C82DFD"/>
    <w:rsid w:val="00C83ACC"/>
    <w:rsid w:val="00C84758"/>
    <w:rsid w:val="00C8524A"/>
    <w:rsid w:val="00C85365"/>
    <w:rsid w:val="00C85485"/>
    <w:rsid w:val="00C855B9"/>
    <w:rsid w:val="00C85D7F"/>
    <w:rsid w:val="00C86DA2"/>
    <w:rsid w:val="00C90559"/>
    <w:rsid w:val="00C90745"/>
    <w:rsid w:val="00C917E3"/>
    <w:rsid w:val="00C91810"/>
    <w:rsid w:val="00C91C14"/>
    <w:rsid w:val="00C921B7"/>
    <w:rsid w:val="00C92235"/>
    <w:rsid w:val="00C9377D"/>
    <w:rsid w:val="00C94051"/>
    <w:rsid w:val="00C95F59"/>
    <w:rsid w:val="00CA20CD"/>
    <w:rsid w:val="00CA26D9"/>
    <w:rsid w:val="00CA2AE6"/>
    <w:rsid w:val="00CA2B72"/>
    <w:rsid w:val="00CA2BC4"/>
    <w:rsid w:val="00CA2F63"/>
    <w:rsid w:val="00CA3F80"/>
    <w:rsid w:val="00CA5D9C"/>
    <w:rsid w:val="00CA6209"/>
    <w:rsid w:val="00CA623C"/>
    <w:rsid w:val="00CA646F"/>
    <w:rsid w:val="00CA7D64"/>
    <w:rsid w:val="00CB0098"/>
    <w:rsid w:val="00CB0821"/>
    <w:rsid w:val="00CB1D94"/>
    <w:rsid w:val="00CB2BA3"/>
    <w:rsid w:val="00CB32E2"/>
    <w:rsid w:val="00CB34BA"/>
    <w:rsid w:val="00CB4C18"/>
    <w:rsid w:val="00CB5136"/>
    <w:rsid w:val="00CB526C"/>
    <w:rsid w:val="00CB55DA"/>
    <w:rsid w:val="00CB63F4"/>
    <w:rsid w:val="00CB66EB"/>
    <w:rsid w:val="00CC0E53"/>
    <w:rsid w:val="00CC1E96"/>
    <w:rsid w:val="00CC3032"/>
    <w:rsid w:val="00CC351D"/>
    <w:rsid w:val="00CC3C9B"/>
    <w:rsid w:val="00CC43A8"/>
    <w:rsid w:val="00CC4415"/>
    <w:rsid w:val="00CD01E8"/>
    <w:rsid w:val="00CD0541"/>
    <w:rsid w:val="00CD1571"/>
    <w:rsid w:val="00CD1624"/>
    <w:rsid w:val="00CD1A12"/>
    <w:rsid w:val="00CD29D8"/>
    <w:rsid w:val="00CD2C89"/>
    <w:rsid w:val="00CD362C"/>
    <w:rsid w:val="00CD3FFB"/>
    <w:rsid w:val="00CD59D1"/>
    <w:rsid w:val="00CD642F"/>
    <w:rsid w:val="00CD7EEA"/>
    <w:rsid w:val="00CE335A"/>
    <w:rsid w:val="00CE3FB9"/>
    <w:rsid w:val="00CE3FEB"/>
    <w:rsid w:val="00CE5BB6"/>
    <w:rsid w:val="00CE763F"/>
    <w:rsid w:val="00CE7F16"/>
    <w:rsid w:val="00CF0555"/>
    <w:rsid w:val="00CF0E1B"/>
    <w:rsid w:val="00CF1CDD"/>
    <w:rsid w:val="00CF2143"/>
    <w:rsid w:val="00CF32C9"/>
    <w:rsid w:val="00CF3915"/>
    <w:rsid w:val="00CF3D62"/>
    <w:rsid w:val="00CF559A"/>
    <w:rsid w:val="00CF6C54"/>
    <w:rsid w:val="00CF7713"/>
    <w:rsid w:val="00CF7858"/>
    <w:rsid w:val="00CF7AFA"/>
    <w:rsid w:val="00D00E89"/>
    <w:rsid w:val="00D013DC"/>
    <w:rsid w:val="00D02325"/>
    <w:rsid w:val="00D026C5"/>
    <w:rsid w:val="00D040AB"/>
    <w:rsid w:val="00D04151"/>
    <w:rsid w:val="00D04898"/>
    <w:rsid w:val="00D05BA9"/>
    <w:rsid w:val="00D067BA"/>
    <w:rsid w:val="00D0725A"/>
    <w:rsid w:val="00D072B7"/>
    <w:rsid w:val="00D07B9A"/>
    <w:rsid w:val="00D10058"/>
    <w:rsid w:val="00D111FC"/>
    <w:rsid w:val="00D11653"/>
    <w:rsid w:val="00D11A6A"/>
    <w:rsid w:val="00D11D91"/>
    <w:rsid w:val="00D12B68"/>
    <w:rsid w:val="00D13158"/>
    <w:rsid w:val="00D1346E"/>
    <w:rsid w:val="00D14AFA"/>
    <w:rsid w:val="00D16BD2"/>
    <w:rsid w:val="00D16E4D"/>
    <w:rsid w:val="00D16F5D"/>
    <w:rsid w:val="00D17039"/>
    <w:rsid w:val="00D171C4"/>
    <w:rsid w:val="00D17E82"/>
    <w:rsid w:val="00D17F4D"/>
    <w:rsid w:val="00D20798"/>
    <w:rsid w:val="00D20ED4"/>
    <w:rsid w:val="00D21C27"/>
    <w:rsid w:val="00D24BD1"/>
    <w:rsid w:val="00D25126"/>
    <w:rsid w:val="00D25188"/>
    <w:rsid w:val="00D256CE"/>
    <w:rsid w:val="00D279AE"/>
    <w:rsid w:val="00D300FB"/>
    <w:rsid w:val="00D316A6"/>
    <w:rsid w:val="00D31B6C"/>
    <w:rsid w:val="00D31CB6"/>
    <w:rsid w:val="00D32F77"/>
    <w:rsid w:val="00D34D58"/>
    <w:rsid w:val="00D34FEE"/>
    <w:rsid w:val="00D35A1A"/>
    <w:rsid w:val="00D35B8B"/>
    <w:rsid w:val="00D35F13"/>
    <w:rsid w:val="00D364E0"/>
    <w:rsid w:val="00D36543"/>
    <w:rsid w:val="00D37FAE"/>
    <w:rsid w:val="00D41C59"/>
    <w:rsid w:val="00D424DB"/>
    <w:rsid w:val="00D42AE8"/>
    <w:rsid w:val="00D43742"/>
    <w:rsid w:val="00D43D4F"/>
    <w:rsid w:val="00D442ED"/>
    <w:rsid w:val="00D44657"/>
    <w:rsid w:val="00D4491D"/>
    <w:rsid w:val="00D46E1D"/>
    <w:rsid w:val="00D46F48"/>
    <w:rsid w:val="00D470E2"/>
    <w:rsid w:val="00D479E2"/>
    <w:rsid w:val="00D47BF0"/>
    <w:rsid w:val="00D5017F"/>
    <w:rsid w:val="00D50972"/>
    <w:rsid w:val="00D52B81"/>
    <w:rsid w:val="00D53DC0"/>
    <w:rsid w:val="00D549E5"/>
    <w:rsid w:val="00D55A62"/>
    <w:rsid w:val="00D565DC"/>
    <w:rsid w:val="00D5690C"/>
    <w:rsid w:val="00D60907"/>
    <w:rsid w:val="00D6234C"/>
    <w:rsid w:val="00D63066"/>
    <w:rsid w:val="00D63A59"/>
    <w:rsid w:val="00D64204"/>
    <w:rsid w:val="00D65100"/>
    <w:rsid w:val="00D65292"/>
    <w:rsid w:val="00D66033"/>
    <w:rsid w:val="00D670B2"/>
    <w:rsid w:val="00D70126"/>
    <w:rsid w:val="00D709B7"/>
    <w:rsid w:val="00D71D2C"/>
    <w:rsid w:val="00D71F9D"/>
    <w:rsid w:val="00D724B4"/>
    <w:rsid w:val="00D726FD"/>
    <w:rsid w:val="00D7315E"/>
    <w:rsid w:val="00D7344E"/>
    <w:rsid w:val="00D73800"/>
    <w:rsid w:val="00D738F7"/>
    <w:rsid w:val="00D73BA8"/>
    <w:rsid w:val="00D74556"/>
    <w:rsid w:val="00D7571B"/>
    <w:rsid w:val="00D75A06"/>
    <w:rsid w:val="00D75A4F"/>
    <w:rsid w:val="00D75D56"/>
    <w:rsid w:val="00D77078"/>
    <w:rsid w:val="00D77833"/>
    <w:rsid w:val="00D800F6"/>
    <w:rsid w:val="00D80A37"/>
    <w:rsid w:val="00D8148A"/>
    <w:rsid w:val="00D81E50"/>
    <w:rsid w:val="00D82A5B"/>
    <w:rsid w:val="00D82E0B"/>
    <w:rsid w:val="00D82FA5"/>
    <w:rsid w:val="00D839FA"/>
    <w:rsid w:val="00D83DA8"/>
    <w:rsid w:val="00D845AB"/>
    <w:rsid w:val="00D85408"/>
    <w:rsid w:val="00D864BF"/>
    <w:rsid w:val="00D878BC"/>
    <w:rsid w:val="00D87959"/>
    <w:rsid w:val="00D90436"/>
    <w:rsid w:val="00D904DA"/>
    <w:rsid w:val="00D905F3"/>
    <w:rsid w:val="00D906E8"/>
    <w:rsid w:val="00D909E5"/>
    <w:rsid w:val="00D90ECE"/>
    <w:rsid w:val="00D920B2"/>
    <w:rsid w:val="00D928DF"/>
    <w:rsid w:val="00D92985"/>
    <w:rsid w:val="00D92C64"/>
    <w:rsid w:val="00D937AC"/>
    <w:rsid w:val="00D94618"/>
    <w:rsid w:val="00D94F9B"/>
    <w:rsid w:val="00D95C92"/>
    <w:rsid w:val="00D9628A"/>
    <w:rsid w:val="00D96B70"/>
    <w:rsid w:val="00D970DC"/>
    <w:rsid w:val="00DA03A8"/>
    <w:rsid w:val="00DA079E"/>
    <w:rsid w:val="00DA152A"/>
    <w:rsid w:val="00DA166E"/>
    <w:rsid w:val="00DA178F"/>
    <w:rsid w:val="00DA3E34"/>
    <w:rsid w:val="00DA5065"/>
    <w:rsid w:val="00DB0CFA"/>
    <w:rsid w:val="00DB148E"/>
    <w:rsid w:val="00DB16DA"/>
    <w:rsid w:val="00DB3275"/>
    <w:rsid w:val="00DB4163"/>
    <w:rsid w:val="00DB5265"/>
    <w:rsid w:val="00DB5F94"/>
    <w:rsid w:val="00DB75BA"/>
    <w:rsid w:val="00DB7927"/>
    <w:rsid w:val="00DC0F3B"/>
    <w:rsid w:val="00DC2303"/>
    <w:rsid w:val="00DC3401"/>
    <w:rsid w:val="00DC47F8"/>
    <w:rsid w:val="00DC4FC6"/>
    <w:rsid w:val="00DC5871"/>
    <w:rsid w:val="00DC5900"/>
    <w:rsid w:val="00DC5E61"/>
    <w:rsid w:val="00DC60C3"/>
    <w:rsid w:val="00DC6ABF"/>
    <w:rsid w:val="00DD1D3D"/>
    <w:rsid w:val="00DD3329"/>
    <w:rsid w:val="00DD3C68"/>
    <w:rsid w:val="00DD3E2C"/>
    <w:rsid w:val="00DD419A"/>
    <w:rsid w:val="00DD4D9E"/>
    <w:rsid w:val="00DD7C9E"/>
    <w:rsid w:val="00DE01D8"/>
    <w:rsid w:val="00DE0BBD"/>
    <w:rsid w:val="00DE19E8"/>
    <w:rsid w:val="00DE23F9"/>
    <w:rsid w:val="00DE2CDD"/>
    <w:rsid w:val="00DE3518"/>
    <w:rsid w:val="00DE4163"/>
    <w:rsid w:val="00DE418C"/>
    <w:rsid w:val="00DE430C"/>
    <w:rsid w:val="00DE70CB"/>
    <w:rsid w:val="00DF0253"/>
    <w:rsid w:val="00DF33B5"/>
    <w:rsid w:val="00DF366B"/>
    <w:rsid w:val="00DF4168"/>
    <w:rsid w:val="00DF6231"/>
    <w:rsid w:val="00DF6DB4"/>
    <w:rsid w:val="00E024F4"/>
    <w:rsid w:val="00E02742"/>
    <w:rsid w:val="00E03AFC"/>
    <w:rsid w:val="00E042F9"/>
    <w:rsid w:val="00E048A0"/>
    <w:rsid w:val="00E04A9E"/>
    <w:rsid w:val="00E0572F"/>
    <w:rsid w:val="00E05BD2"/>
    <w:rsid w:val="00E07070"/>
    <w:rsid w:val="00E07AF8"/>
    <w:rsid w:val="00E113A6"/>
    <w:rsid w:val="00E125D1"/>
    <w:rsid w:val="00E134B3"/>
    <w:rsid w:val="00E13D7C"/>
    <w:rsid w:val="00E141CD"/>
    <w:rsid w:val="00E146E7"/>
    <w:rsid w:val="00E14B89"/>
    <w:rsid w:val="00E1552E"/>
    <w:rsid w:val="00E1599C"/>
    <w:rsid w:val="00E169FC"/>
    <w:rsid w:val="00E17158"/>
    <w:rsid w:val="00E17549"/>
    <w:rsid w:val="00E17FED"/>
    <w:rsid w:val="00E2001F"/>
    <w:rsid w:val="00E2020B"/>
    <w:rsid w:val="00E20ACE"/>
    <w:rsid w:val="00E20F4E"/>
    <w:rsid w:val="00E2257A"/>
    <w:rsid w:val="00E248A3"/>
    <w:rsid w:val="00E2544F"/>
    <w:rsid w:val="00E25DB7"/>
    <w:rsid w:val="00E278C2"/>
    <w:rsid w:val="00E30A6A"/>
    <w:rsid w:val="00E323FC"/>
    <w:rsid w:val="00E34B09"/>
    <w:rsid w:val="00E35327"/>
    <w:rsid w:val="00E35A61"/>
    <w:rsid w:val="00E3616A"/>
    <w:rsid w:val="00E361F7"/>
    <w:rsid w:val="00E3679A"/>
    <w:rsid w:val="00E37888"/>
    <w:rsid w:val="00E37D5E"/>
    <w:rsid w:val="00E417C4"/>
    <w:rsid w:val="00E42C6B"/>
    <w:rsid w:val="00E43104"/>
    <w:rsid w:val="00E441A5"/>
    <w:rsid w:val="00E45547"/>
    <w:rsid w:val="00E455DB"/>
    <w:rsid w:val="00E4560C"/>
    <w:rsid w:val="00E46778"/>
    <w:rsid w:val="00E4687D"/>
    <w:rsid w:val="00E470F5"/>
    <w:rsid w:val="00E47446"/>
    <w:rsid w:val="00E4788D"/>
    <w:rsid w:val="00E479D7"/>
    <w:rsid w:val="00E47FA2"/>
    <w:rsid w:val="00E50293"/>
    <w:rsid w:val="00E5121C"/>
    <w:rsid w:val="00E51B67"/>
    <w:rsid w:val="00E51D99"/>
    <w:rsid w:val="00E5227C"/>
    <w:rsid w:val="00E53AD3"/>
    <w:rsid w:val="00E5467A"/>
    <w:rsid w:val="00E547D5"/>
    <w:rsid w:val="00E558A8"/>
    <w:rsid w:val="00E56A34"/>
    <w:rsid w:val="00E56B60"/>
    <w:rsid w:val="00E6088E"/>
    <w:rsid w:val="00E61604"/>
    <w:rsid w:val="00E61A78"/>
    <w:rsid w:val="00E61D25"/>
    <w:rsid w:val="00E6202D"/>
    <w:rsid w:val="00E6243E"/>
    <w:rsid w:val="00E626C7"/>
    <w:rsid w:val="00E634F9"/>
    <w:rsid w:val="00E647B7"/>
    <w:rsid w:val="00E649DB"/>
    <w:rsid w:val="00E666E4"/>
    <w:rsid w:val="00E67769"/>
    <w:rsid w:val="00E67D81"/>
    <w:rsid w:val="00E67EE7"/>
    <w:rsid w:val="00E700C6"/>
    <w:rsid w:val="00E7036B"/>
    <w:rsid w:val="00E70DA8"/>
    <w:rsid w:val="00E70DB5"/>
    <w:rsid w:val="00E70E85"/>
    <w:rsid w:val="00E71F52"/>
    <w:rsid w:val="00E72CE7"/>
    <w:rsid w:val="00E7579C"/>
    <w:rsid w:val="00E76257"/>
    <w:rsid w:val="00E76610"/>
    <w:rsid w:val="00E76A44"/>
    <w:rsid w:val="00E7797B"/>
    <w:rsid w:val="00E81535"/>
    <w:rsid w:val="00E819A2"/>
    <w:rsid w:val="00E827B6"/>
    <w:rsid w:val="00E83618"/>
    <w:rsid w:val="00E85499"/>
    <w:rsid w:val="00E85552"/>
    <w:rsid w:val="00E85F07"/>
    <w:rsid w:val="00E875A3"/>
    <w:rsid w:val="00E87AFB"/>
    <w:rsid w:val="00E91AF9"/>
    <w:rsid w:val="00E92793"/>
    <w:rsid w:val="00E92919"/>
    <w:rsid w:val="00E944A0"/>
    <w:rsid w:val="00E9485C"/>
    <w:rsid w:val="00E95123"/>
    <w:rsid w:val="00E96698"/>
    <w:rsid w:val="00E96B93"/>
    <w:rsid w:val="00E97068"/>
    <w:rsid w:val="00E973D1"/>
    <w:rsid w:val="00EA01D3"/>
    <w:rsid w:val="00EA0280"/>
    <w:rsid w:val="00EA1263"/>
    <w:rsid w:val="00EA2BB5"/>
    <w:rsid w:val="00EA4DEF"/>
    <w:rsid w:val="00EA4E2A"/>
    <w:rsid w:val="00EA5863"/>
    <w:rsid w:val="00EA70CA"/>
    <w:rsid w:val="00EA7444"/>
    <w:rsid w:val="00EB0830"/>
    <w:rsid w:val="00EB0910"/>
    <w:rsid w:val="00EB107E"/>
    <w:rsid w:val="00EB244D"/>
    <w:rsid w:val="00EB5713"/>
    <w:rsid w:val="00EB5756"/>
    <w:rsid w:val="00EB5E0D"/>
    <w:rsid w:val="00EB66B4"/>
    <w:rsid w:val="00EB69AE"/>
    <w:rsid w:val="00EB7BBB"/>
    <w:rsid w:val="00EB7E37"/>
    <w:rsid w:val="00EC0C20"/>
    <w:rsid w:val="00EC0ECA"/>
    <w:rsid w:val="00EC1BBF"/>
    <w:rsid w:val="00EC1D9B"/>
    <w:rsid w:val="00EC3A78"/>
    <w:rsid w:val="00EC3D48"/>
    <w:rsid w:val="00EC446C"/>
    <w:rsid w:val="00EC47A5"/>
    <w:rsid w:val="00EC4B23"/>
    <w:rsid w:val="00EC7802"/>
    <w:rsid w:val="00EC7965"/>
    <w:rsid w:val="00EC7A06"/>
    <w:rsid w:val="00ED012C"/>
    <w:rsid w:val="00ED0705"/>
    <w:rsid w:val="00ED2C9F"/>
    <w:rsid w:val="00ED331E"/>
    <w:rsid w:val="00ED3338"/>
    <w:rsid w:val="00ED395B"/>
    <w:rsid w:val="00ED42B2"/>
    <w:rsid w:val="00ED4749"/>
    <w:rsid w:val="00ED506D"/>
    <w:rsid w:val="00ED509B"/>
    <w:rsid w:val="00ED5195"/>
    <w:rsid w:val="00ED6275"/>
    <w:rsid w:val="00EE07FB"/>
    <w:rsid w:val="00EE12F6"/>
    <w:rsid w:val="00EE13FE"/>
    <w:rsid w:val="00EE1A7A"/>
    <w:rsid w:val="00EE2440"/>
    <w:rsid w:val="00EE31B3"/>
    <w:rsid w:val="00EE3519"/>
    <w:rsid w:val="00EE446F"/>
    <w:rsid w:val="00EE4944"/>
    <w:rsid w:val="00EE4B01"/>
    <w:rsid w:val="00EE5797"/>
    <w:rsid w:val="00EE584D"/>
    <w:rsid w:val="00EE5F06"/>
    <w:rsid w:val="00EE78CE"/>
    <w:rsid w:val="00EF0319"/>
    <w:rsid w:val="00EF0BAE"/>
    <w:rsid w:val="00EF175D"/>
    <w:rsid w:val="00EF335A"/>
    <w:rsid w:val="00EF3371"/>
    <w:rsid w:val="00EF3B95"/>
    <w:rsid w:val="00EF424D"/>
    <w:rsid w:val="00EF434C"/>
    <w:rsid w:val="00EF4668"/>
    <w:rsid w:val="00EF4A84"/>
    <w:rsid w:val="00EF4BAA"/>
    <w:rsid w:val="00EF6227"/>
    <w:rsid w:val="00EF64DC"/>
    <w:rsid w:val="00EF78D0"/>
    <w:rsid w:val="00F00339"/>
    <w:rsid w:val="00F006D0"/>
    <w:rsid w:val="00F00A40"/>
    <w:rsid w:val="00F02702"/>
    <w:rsid w:val="00F0408C"/>
    <w:rsid w:val="00F04CAD"/>
    <w:rsid w:val="00F04DBA"/>
    <w:rsid w:val="00F051A7"/>
    <w:rsid w:val="00F0620B"/>
    <w:rsid w:val="00F06260"/>
    <w:rsid w:val="00F07F78"/>
    <w:rsid w:val="00F1032D"/>
    <w:rsid w:val="00F107E6"/>
    <w:rsid w:val="00F1099B"/>
    <w:rsid w:val="00F10B6E"/>
    <w:rsid w:val="00F11E33"/>
    <w:rsid w:val="00F124D3"/>
    <w:rsid w:val="00F129E9"/>
    <w:rsid w:val="00F132FD"/>
    <w:rsid w:val="00F155ED"/>
    <w:rsid w:val="00F1632E"/>
    <w:rsid w:val="00F16E0A"/>
    <w:rsid w:val="00F17E25"/>
    <w:rsid w:val="00F2054A"/>
    <w:rsid w:val="00F20D88"/>
    <w:rsid w:val="00F21371"/>
    <w:rsid w:val="00F26403"/>
    <w:rsid w:val="00F27981"/>
    <w:rsid w:val="00F2799D"/>
    <w:rsid w:val="00F315B4"/>
    <w:rsid w:val="00F31773"/>
    <w:rsid w:val="00F31951"/>
    <w:rsid w:val="00F31D8A"/>
    <w:rsid w:val="00F32510"/>
    <w:rsid w:val="00F32DDD"/>
    <w:rsid w:val="00F359C9"/>
    <w:rsid w:val="00F361F1"/>
    <w:rsid w:val="00F36427"/>
    <w:rsid w:val="00F40A79"/>
    <w:rsid w:val="00F424A3"/>
    <w:rsid w:val="00F42FCB"/>
    <w:rsid w:val="00F430CC"/>
    <w:rsid w:val="00F430D3"/>
    <w:rsid w:val="00F43797"/>
    <w:rsid w:val="00F4501E"/>
    <w:rsid w:val="00F45049"/>
    <w:rsid w:val="00F4530A"/>
    <w:rsid w:val="00F4675C"/>
    <w:rsid w:val="00F4690A"/>
    <w:rsid w:val="00F477DD"/>
    <w:rsid w:val="00F47DC2"/>
    <w:rsid w:val="00F5051E"/>
    <w:rsid w:val="00F5195D"/>
    <w:rsid w:val="00F529C6"/>
    <w:rsid w:val="00F5313E"/>
    <w:rsid w:val="00F537B4"/>
    <w:rsid w:val="00F540AD"/>
    <w:rsid w:val="00F5609D"/>
    <w:rsid w:val="00F574CB"/>
    <w:rsid w:val="00F5790C"/>
    <w:rsid w:val="00F5793E"/>
    <w:rsid w:val="00F57965"/>
    <w:rsid w:val="00F57D72"/>
    <w:rsid w:val="00F60817"/>
    <w:rsid w:val="00F61F15"/>
    <w:rsid w:val="00F63708"/>
    <w:rsid w:val="00F64016"/>
    <w:rsid w:val="00F647D9"/>
    <w:rsid w:val="00F6579E"/>
    <w:rsid w:val="00F6672A"/>
    <w:rsid w:val="00F6760B"/>
    <w:rsid w:val="00F70924"/>
    <w:rsid w:val="00F722AB"/>
    <w:rsid w:val="00F7294D"/>
    <w:rsid w:val="00F74B13"/>
    <w:rsid w:val="00F74BB7"/>
    <w:rsid w:val="00F74FC5"/>
    <w:rsid w:val="00F75C89"/>
    <w:rsid w:val="00F7662C"/>
    <w:rsid w:val="00F767E0"/>
    <w:rsid w:val="00F80885"/>
    <w:rsid w:val="00F81086"/>
    <w:rsid w:val="00F810F6"/>
    <w:rsid w:val="00F811C9"/>
    <w:rsid w:val="00F82373"/>
    <w:rsid w:val="00F8322C"/>
    <w:rsid w:val="00F84B00"/>
    <w:rsid w:val="00F855A1"/>
    <w:rsid w:val="00F857FA"/>
    <w:rsid w:val="00F86023"/>
    <w:rsid w:val="00F93327"/>
    <w:rsid w:val="00F94693"/>
    <w:rsid w:val="00F96AC0"/>
    <w:rsid w:val="00F96D0F"/>
    <w:rsid w:val="00F97B52"/>
    <w:rsid w:val="00FA09A9"/>
    <w:rsid w:val="00FA0B55"/>
    <w:rsid w:val="00FA135C"/>
    <w:rsid w:val="00FA3C49"/>
    <w:rsid w:val="00FA4D25"/>
    <w:rsid w:val="00FA547C"/>
    <w:rsid w:val="00FA58F6"/>
    <w:rsid w:val="00FA6287"/>
    <w:rsid w:val="00FA6422"/>
    <w:rsid w:val="00FA7540"/>
    <w:rsid w:val="00FA7A68"/>
    <w:rsid w:val="00FA7D7B"/>
    <w:rsid w:val="00FB0DB0"/>
    <w:rsid w:val="00FB1361"/>
    <w:rsid w:val="00FB1524"/>
    <w:rsid w:val="00FB1583"/>
    <w:rsid w:val="00FB212C"/>
    <w:rsid w:val="00FB587F"/>
    <w:rsid w:val="00FB5E22"/>
    <w:rsid w:val="00FB6D0E"/>
    <w:rsid w:val="00FB7E07"/>
    <w:rsid w:val="00FC0057"/>
    <w:rsid w:val="00FC0563"/>
    <w:rsid w:val="00FC06CA"/>
    <w:rsid w:val="00FC1050"/>
    <w:rsid w:val="00FC1837"/>
    <w:rsid w:val="00FC33FA"/>
    <w:rsid w:val="00FC43DD"/>
    <w:rsid w:val="00FC4BC5"/>
    <w:rsid w:val="00FC4F34"/>
    <w:rsid w:val="00FC6DBA"/>
    <w:rsid w:val="00FC7A35"/>
    <w:rsid w:val="00FC7B28"/>
    <w:rsid w:val="00FD03FE"/>
    <w:rsid w:val="00FD09AB"/>
    <w:rsid w:val="00FD0A65"/>
    <w:rsid w:val="00FD1B78"/>
    <w:rsid w:val="00FD257F"/>
    <w:rsid w:val="00FD2B9E"/>
    <w:rsid w:val="00FD4191"/>
    <w:rsid w:val="00FD5CA4"/>
    <w:rsid w:val="00FD5F94"/>
    <w:rsid w:val="00FD6818"/>
    <w:rsid w:val="00FD78C1"/>
    <w:rsid w:val="00FE03DC"/>
    <w:rsid w:val="00FE2850"/>
    <w:rsid w:val="00FE378A"/>
    <w:rsid w:val="00FE4445"/>
    <w:rsid w:val="00FE554F"/>
    <w:rsid w:val="00FE55D8"/>
    <w:rsid w:val="00FE617B"/>
    <w:rsid w:val="00FE61C6"/>
    <w:rsid w:val="00FE6529"/>
    <w:rsid w:val="00FE7D7A"/>
    <w:rsid w:val="00FF03A3"/>
    <w:rsid w:val="00FF0CD5"/>
    <w:rsid w:val="00FF0FD5"/>
    <w:rsid w:val="00FF176B"/>
    <w:rsid w:val="00FF2024"/>
    <w:rsid w:val="00FF3068"/>
    <w:rsid w:val="00FF3B69"/>
    <w:rsid w:val="00FF3BD4"/>
    <w:rsid w:val="00FF4602"/>
    <w:rsid w:val="00FF4620"/>
    <w:rsid w:val="00FF4EA8"/>
    <w:rsid w:val="00FF4F3D"/>
    <w:rsid w:val="098B9D4C"/>
    <w:rsid w:val="4261B144"/>
    <w:rsid w:val="572796FB"/>
    <w:rsid w:val="72BFDF4D"/>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B729"/>
  <w15:chartTrackingRefBased/>
  <w15:docId w15:val="{630798C7-22CF-46F5-82D1-BA1F9C7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locked="1" w:semiHidden="1" w:uiPriority="31"/>
    <w:lsdException w:name="Intense Reference" w:locked="1" w:uiPriority="32"/>
    <w:lsdException w:name="Book Title" w:semiHidden="1"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75"/>
  </w:style>
  <w:style w:type="paragraph" w:styleId="Heading1">
    <w:name w:val="heading 1"/>
    <w:basedOn w:val="Normal"/>
    <w:next w:val="Normal"/>
    <w:link w:val="Heading1Char"/>
    <w:uiPriority w:val="9"/>
    <w:qFormat/>
    <w:rsid w:val="00ED6275"/>
    <w:pPr>
      <w:keepNext/>
      <w:keepLines/>
      <w:pBdr>
        <w:top w:val="single" w:sz="8" w:space="2" w:color="FCE18D"/>
        <w:left w:val="single" w:sz="8" w:space="2" w:color="FCE18D"/>
        <w:bottom w:val="single" w:sz="8" w:space="2" w:color="FCE18D"/>
        <w:right w:val="single" w:sz="8" w:space="2" w:color="FCE18D"/>
      </w:pBdr>
      <w:shd w:val="clear" w:color="auto" w:fill="FCE18D"/>
      <w:spacing w:before="600"/>
      <w:outlineLvl w:val="0"/>
    </w:pPr>
    <w:rPr>
      <w:rFonts w:ascii="Calibri" w:eastAsiaTheme="majorEastAsia" w:hAnsi="Calibri" w:cstheme="majorBidi"/>
      <w:b/>
      <w:spacing w:val="20"/>
      <w:sz w:val="48"/>
      <w:szCs w:val="32"/>
    </w:rPr>
  </w:style>
  <w:style w:type="paragraph" w:styleId="Heading2">
    <w:name w:val="heading 2"/>
    <w:basedOn w:val="Normal"/>
    <w:next w:val="Normal"/>
    <w:link w:val="Heading2Char"/>
    <w:uiPriority w:val="9"/>
    <w:qFormat/>
    <w:rsid w:val="00ED6275"/>
    <w:pPr>
      <w:keepNext/>
      <w:keepLines/>
      <w:pBdr>
        <w:top w:val="single" w:sz="8" w:space="2" w:color="E6E5D7" w:themeColor="accent2"/>
        <w:left w:val="single" w:sz="8" w:space="2" w:color="E6E5D7" w:themeColor="accent2"/>
        <w:bottom w:val="single" w:sz="8" w:space="2" w:color="E6E5D7" w:themeColor="accent2"/>
        <w:right w:val="single" w:sz="8" w:space="2" w:color="E6E5D7" w:themeColor="accent2"/>
      </w:pBdr>
      <w:shd w:val="clear" w:color="auto" w:fill="E6E5D7" w:themeFill="accent2"/>
      <w:spacing w:before="480" w:after="120"/>
      <w:outlineLvl w:val="1"/>
    </w:pPr>
    <w:rPr>
      <w:rFonts w:ascii="Calibri" w:eastAsiaTheme="majorEastAsia" w:hAnsi="Calibri" w:cstheme="majorBidi"/>
      <w:b/>
      <w:spacing w:val="20"/>
      <w:sz w:val="40"/>
      <w:szCs w:val="26"/>
    </w:rPr>
  </w:style>
  <w:style w:type="paragraph" w:styleId="Heading3">
    <w:name w:val="heading 3"/>
    <w:basedOn w:val="Normal"/>
    <w:next w:val="Normal"/>
    <w:link w:val="Heading3Char"/>
    <w:uiPriority w:val="9"/>
    <w:qFormat/>
    <w:rsid w:val="00ED6275"/>
    <w:pPr>
      <w:keepNext/>
      <w:keepLines/>
      <w:spacing w:before="360" w:after="120"/>
      <w:outlineLvl w:val="2"/>
    </w:pPr>
    <w:rPr>
      <w:rFonts w:ascii="Calibri" w:eastAsiaTheme="majorEastAsia" w:hAnsi="Calibri" w:cstheme="majorBidi"/>
      <w:b/>
      <w:spacing w:val="10"/>
      <w:sz w:val="34"/>
      <w:szCs w:val="24"/>
    </w:rPr>
  </w:style>
  <w:style w:type="paragraph" w:styleId="Heading4">
    <w:name w:val="heading 4"/>
    <w:basedOn w:val="Normal"/>
    <w:next w:val="Normal"/>
    <w:link w:val="Heading4Char"/>
    <w:uiPriority w:val="9"/>
    <w:qFormat/>
    <w:rsid w:val="00ED6275"/>
    <w:pPr>
      <w:keepNext/>
      <w:keepLines/>
      <w:spacing w:before="240" w:after="40"/>
      <w:outlineLvl w:val="3"/>
    </w:pPr>
    <w:rPr>
      <w:rFonts w:ascii="Calibri" w:eastAsiaTheme="majorEastAsia" w:hAnsi="Calibri" w:cstheme="majorBidi"/>
      <w:b/>
      <w:iCs/>
      <w:spacing w:val="10"/>
      <w:sz w:val="28"/>
    </w:rPr>
  </w:style>
  <w:style w:type="paragraph" w:styleId="Heading5">
    <w:name w:val="heading 5"/>
    <w:basedOn w:val="Normal"/>
    <w:next w:val="Normal"/>
    <w:link w:val="Heading5Char"/>
    <w:uiPriority w:val="9"/>
    <w:semiHidden/>
    <w:locked/>
    <w:rsid w:val="00ED6275"/>
    <w:pPr>
      <w:keepNext/>
      <w:keepLines/>
      <w:spacing w:before="40" w:after="0"/>
      <w:outlineLvl w:val="4"/>
    </w:pPr>
    <w:rPr>
      <w:rFonts w:asciiTheme="majorHAnsi" w:eastAsiaTheme="majorEastAsia" w:hAnsiTheme="majorHAnsi" w:cstheme="majorBidi"/>
      <w:color w:val="CA9A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275"/>
    <w:rPr>
      <w:rFonts w:ascii="Calibri" w:eastAsiaTheme="majorEastAsia" w:hAnsi="Calibri" w:cstheme="majorBidi"/>
      <w:b/>
      <w:spacing w:val="20"/>
      <w:sz w:val="48"/>
      <w:szCs w:val="32"/>
      <w:shd w:val="clear" w:color="auto" w:fill="FCE18D"/>
    </w:rPr>
  </w:style>
  <w:style w:type="paragraph" w:styleId="Title">
    <w:name w:val="Title"/>
    <w:basedOn w:val="Normal"/>
    <w:next w:val="Normal"/>
    <w:link w:val="TitleChar"/>
    <w:uiPriority w:val="36"/>
    <w:qFormat/>
    <w:rsid w:val="00ED6275"/>
    <w:pPr>
      <w:pBdr>
        <w:bottom w:val="single" w:sz="48" w:space="6" w:color="FAC41A" w:themeColor="accent1"/>
      </w:pBdr>
      <w:spacing w:after="600"/>
      <w:ind w:right="1588"/>
      <w:contextualSpacing/>
    </w:pPr>
    <w:rPr>
      <w:rFonts w:ascii="Calibri" w:eastAsiaTheme="majorEastAsia" w:hAnsi="Calibri" w:cstheme="majorBidi"/>
      <w:b/>
      <w:kern w:val="28"/>
      <w:sz w:val="60"/>
      <w:szCs w:val="56"/>
    </w:rPr>
  </w:style>
  <w:style w:type="character" w:customStyle="1" w:styleId="TitleChar">
    <w:name w:val="Title Char"/>
    <w:basedOn w:val="DefaultParagraphFont"/>
    <w:link w:val="Title"/>
    <w:uiPriority w:val="36"/>
    <w:rsid w:val="00ED6275"/>
    <w:rPr>
      <w:rFonts w:ascii="Calibri" w:eastAsiaTheme="majorEastAsia" w:hAnsi="Calibri" w:cstheme="majorBidi"/>
      <w:b/>
      <w:kern w:val="28"/>
      <w:sz w:val="60"/>
      <w:szCs w:val="56"/>
    </w:rPr>
  </w:style>
  <w:style w:type="character" w:customStyle="1" w:styleId="Heading2Char">
    <w:name w:val="Heading 2 Char"/>
    <w:basedOn w:val="DefaultParagraphFont"/>
    <w:link w:val="Heading2"/>
    <w:uiPriority w:val="9"/>
    <w:rsid w:val="00ED6275"/>
    <w:rPr>
      <w:rFonts w:ascii="Calibri" w:eastAsiaTheme="majorEastAsia" w:hAnsi="Calibri" w:cstheme="majorBidi"/>
      <w:b/>
      <w:spacing w:val="20"/>
      <w:sz w:val="40"/>
      <w:szCs w:val="26"/>
      <w:shd w:val="clear" w:color="auto" w:fill="E6E5D7" w:themeFill="accent2"/>
    </w:rPr>
  </w:style>
  <w:style w:type="character" w:customStyle="1" w:styleId="Heading3Char">
    <w:name w:val="Heading 3 Char"/>
    <w:basedOn w:val="DefaultParagraphFont"/>
    <w:link w:val="Heading3"/>
    <w:uiPriority w:val="9"/>
    <w:rsid w:val="00ED6275"/>
    <w:rPr>
      <w:rFonts w:ascii="Calibri" w:eastAsiaTheme="majorEastAsia" w:hAnsi="Calibri" w:cstheme="majorBidi"/>
      <w:b/>
      <w:spacing w:val="10"/>
      <w:sz w:val="34"/>
      <w:szCs w:val="24"/>
    </w:rPr>
  </w:style>
  <w:style w:type="character" w:customStyle="1" w:styleId="Heading4Char">
    <w:name w:val="Heading 4 Char"/>
    <w:basedOn w:val="DefaultParagraphFont"/>
    <w:link w:val="Heading4"/>
    <w:uiPriority w:val="9"/>
    <w:rsid w:val="00ED6275"/>
    <w:rPr>
      <w:rFonts w:ascii="Calibri" w:eastAsiaTheme="majorEastAsia" w:hAnsi="Calibri" w:cstheme="majorBidi"/>
      <w:b/>
      <w:iCs/>
      <w:spacing w:val="10"/>
      <w:sz w:val="28"/>
    </w:rPr>
  </w:style>
  <w:style w:type="character" w:customStyle="1" w:styleId="Heading5Char">
    <w:name w:val="Heading 5 Char"/>
    <w:basedOn w:val="DefaultParagraphFont"/>
    <w:link w:val="Heading5"/>
    <w:uiPriority w:val="9"/>
    <w:semiHidden/>
    <w:rsid w:val="00ED6275"/>
    <w:rPr>
      <w:rFonts w:asciiTheme="majorHAnsi" w:eastAsiaTheme="majorEastAsia" w:hAnsiTheme="majorHAnsi" w:cstheme="majorBidi"/>
      <w:color w:val="CA9A04" w:themeColor="accent1" w:themeShade="BF"/>
    </w:rPr>
  </w:style>
  <w:style w:type="character" w:styleId="Hyperlink">
    <w:name w:val="Hyperlink"/>
    <w:basedOn w:val="DefaultParagraphFont"/>
    <w:uiPriority w:val="99"/>
    <w:unhideWhenUsed/>
    <w:rsid w:val="00ED6275"/>
    <w:rPr>
      <w:color w:val="234D87" w:themeColor="accent5" w:themeShade="80"/>
      <w:u w:val="single"/>
    </w:rPr>
  </w:style>
  <w:style w:type="paragraph" w:styleId="Subtitle">
    <w:name w:val="Subtitle"/>
    <w:basedOn w:val="Normal"/>
    <w:next w:val="Normal"/>
    <w:link w:val="SubtitleChar"/>
    <w:uiPriority w:val="37"/>
    <w:qFormat/>
    <w:rsid w:val="00ED6275"/>
    <w:pPr>
      <w:numPr>
        <w:ilvl w:val="1"/>
      </w:numPr>
      <w:spacing w:after="480"/>
    </w:pPr>
    <w:rPr>
      <w:rFonts w:ascii="Calibri" w:eastAsiaTheme="minorEastAsia" w:hAnsi="Calibri"/>
      <w:sz w:val="40"/>
    </w:rPr>
  </w:style>
  <w:style w:type="character" w:customStyle="1" w:styleId="SubtitleChar">
    <w:name w:val="Subtitle Char"/>
    <w:basedOn w:val="DefaultParagraphFont"/>
    <w:link w:val="Subtitle"/>
    <w:uiPriority w:val="37"/>
    <w:rsid w:val="00ED6275"/>
    <w:rPr>
      <w:rFonts w:ascii="Calibri" w:eastAsiaTheme="minorEastAsia" w:hAnsi="Calibri"/>
      <w:sz w:val="40"/>
    </w:rPr>
  </w:style>
  <w:style w:type="paragraph" w:styleId="FootnoteText">
    <w:name w:val="footnote text"/>
    <w:basedOn w:val="Normal"/>
    <w:link w:val="FootnoteTextChar"/>
    <w:uiPriority w:val="99"/>
    <w:rsid w:val="00ED6275"/>
    <w:pPr>
      <w:spacing w:after="0"/>
    </w:pPr>
    <w:rPr>
      <w:sz w:val="18"/>
      <w:szCs w:val="20"/>
    </w:rPr>
  </w:style>
  <w:style w:type="character" w:customStyle="1" w:styleId="FootnoteTextChar">
    <w:name w:val="Footnote Text Char"/>
    <w:basedOn w:val="DefaultParagraphFont"/>
    <w:link w:val="FootnoteText"/>
    <w:uiPriority w:val="99"/>
    <w:rsid w:val="00ED6275"/>
    <w:rPr>
      <w:sz w:val="18"/>
      <w:szCs w:val="20"/>
    </w:rPr>
  </w:style>
  <w:style w:type="character" w:styleId="FootnoteReference">
    <w:name w:val="footnote reference"/>
    <w:basedOn w:val="DefaultParagraphFont"/>
    <w:uiPriority w:val="99"/>
    <w:rsid w:val="00ED6275"/>
    <w:rPr>
      <w:vertAlign w:val="superscript"/>
    </w:rPr>
  </w:style>
  <w:style w:type="paragraph" w:styleId="EndnoteText">
    <w:name w:val="endnote text"/>
    <w:basedOn w:val="Normal"/>
    <w:link w:val="EndnoteTextChar"/>
    <w:uiPriority w:val="99"/>
    <w:rsid w:val="00ED6275"/>
    <w:pPr>
      <w:spacing w:after="0"/>
    </w:pPr>
    <w:rPr>
      <w:sz w:val="20"/>
      <w:szCs w:val="20"/>
    </w:rPr>
  </w:style>
  <w:style w:type="character" w:customStyle="1" w:styleId="EndnoteTextChar">
    <w:name w:val="Endnote Text Char"/>
    <w:basedOn w:val="DefaultParagraphFont"/>
    <w:link w:val="EndnoteText"/>
    <w:uiPriority w:val="99"/>
    <w:rsid w:val="00ED6275"/>
    <w:rPr>
      <w:sz w:val="20"/>
      <w:szCs w:val="20"/>
    </w:rPr>
  </w:style>
  <w:style w:type="character" w:styleId="EndnoteReference">
    <w:name w:val="endnote reference"/>
    <w:basedOn w:val="DefaultParagraphFont"/>
    <w:uiPriority w:val="99"/>
    <w:rsid w:val="00ED6275"/>
    <w:rPr>
      <w:vertAlign w:val="superscript"/>
    </w:rPr>
  </w:style>
  <w:style w:type="paragraph" w:styleId="Quote">
    <w:name w:val="Quote"/>
    <w:basedOn w:val="Normal"/>
    <w:next w:val="Normal"/>
    <w:link w:val="QuoteChar"/>
    <w:uiPriority w:val="29"/>
    <w:qFormat/>
    <w:rsid w:val="00ED6275"/>
    <w:pPr>
      <w:keepLines/>
      <w:spacing w:before="240"/>
      <w:ind w:left="720"/>
    </w:pPr>
    <w:rPr>
      <w:rFonts w:ascii="Calibri" w:hAnsi="Calibri"/>
      <w:b/>
      <w:iCs/>
      <w:color w:val="2F4049" w:themeColor="accent3" w:themeShade="40"/>
      <w:spacing w:val="10"/>
      <w:sz w:val="24"/>
    </w:rPr>
  </w:style>
  <w:style w:type="character" w:customStyle="1" w:styleId="QuoteChar">
    <w:name w:val="Quote Char"/>
    <w:basedOn w:val="DefaultParagraphFont"/>
    <w:link w:val="Quote"/>
    <w:uiPriority w:val="29"/>
    <w:rsid w:val="00ED6275"/>
    <w:rPr>
      <w:rFonts w:ascii="Calibri" w:hAnsi="Calibri"/>
      <w:b/>
      <w:iCs/>
      <w:color w:val="2F4049" w:themeColor="accent3" w:themeShade="40"/>
      <w:spacing w:val="10"/>
      <w:sz w:val="24"/>
    </w:rPr>
  </w:style>
  <w:style w:type="paragraph" w:styleId="IntenseQuote">
    <w:name w:val="Intense Quote"/>
    <w:basedOn w:val="Quote"/>
    <w:next w:val="Normal"/>
    <w:link w:val="IntenseQuoteChar"/>
    <w:uiPriority w:val="30"/>
    <w:qFormat/>
    <w:rsid w:val="00ED6275"/>
    <w:pPr>
      <w:spacing w:before="360" w:after="360"/>
      <w:ind w:right="720"/>
    </w:pPr>
    <w:rPr>
      <w:sz w:val="32"/>
    </w:rPr>
  </w:style>
  <w:style w:type="character" w:customStyle="1" w:styleId="IntenseQuoteChar">
    <w:name w:val="Intense Quote Char"/>
    <w:basedOn w:val="DefaultParagraphFont"/>
    <w:link w:val="IntenseQuote"/>
    <w:uiPriority w:val="30"/>
    <w:rsid w:val="00ED6275"/>
    <w:rPr>
      <w:rFonts w:ascii="Calibri" w:hAnsi="Calibri"/>
      <w:b/>
      <w:iCs/>
      <w:color w:val="2F4049" w:themeColor="accent3" w:themeShade="40"/>
      <w:spacing w:val="10"/>
      <w:sz w:val="32"/>
    </w:rPr>
  </w:style>
  <w:style w:type="character" w:styleId="IntenseReference">
    <w:name w:val="Intense Reference"/>
    <w:basedOn w:val="DefaultParagraphFont"/>
    <w:uiPriority w:val="32"/>
    <w:semiHidden/>
    <w:locked/>
    <w:rsid w:val="00ED6275"/>
    <w:rPr>
      <w:b/>
      <w:bCs/>
      <w:smallCaps/>
      <w:color w:val="FAC41A" w:themeColor="accent1"/>
      <w:spacing w:val="5"/>
    </w:rPr>
  </w:style>
  <w:style w:type="paragraph" w:styleId="Caption">
    <w:name w:val="caption"/>
    <w:basedOn w:val="Normal"/>
    <w:next w:val="Normal"/>
    <w:link w:val="CaptionChar"/>
    <w:uiPriority w:val="33"/>
    <w:qFormat/>
    <w:rsid w:val="00ED6275"/>
    <w:rPr>
      <w:rFonts w:ascii="Calibri" w:hAnsi="Calibri"/>
      <w:b/>
      <w:iCs/>
      <w:sz w:val="24"/>
      <w:szCs w:val="18"/>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ED6275"/>
    <w:pPr>
      <w:numPr>
        <w:numId w:val="17"/>
      </w:numPr>
    </w:pPr>
  </w:style>
  <w:style w:type="table" w:styleId="TableGrid">
    <w:name w:val="Table Grid"/>
    <w:basedOn w:val="TableNormal"/>
    <w:uiPriority w:val="39"/>
    <w:rsid w:val="00ED6275"/>
    <w:pPr>
      <w:spacing w:after="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Default IAG table"/>
    <w:basedOn w:val="TableNormal"/>
    <w:uiPriority w:val="50"/>
    <w:rsid w:val="00ED6275"/>
    <w:pPr>
      <w:spacing w:after="0"/>
      <w:contextualSpacing/>
    </w:pPr>
    <w:tblPr>
      <w:tblStyleRowBandSize w:val="1"/>
      <w:tblStyleColBandSize w:val="1"/>
      <w:tblBorders>
        <w:bottom w:val="single" w:sz="48" w:space="0" w:color="FFFFFF" w:themeColor="background1"/>
        <w:insideH w:val="single" w:sz="24" w:space="0" w:color="FFFFFF" w:themeColor="background1"/>
        <w:insideV w:val="single" w:sz="24" w:space="0" w:color="FFFFFF" w:themeColor="background1"/>
      </w:tblBorders>
      <w:tblCellMar>
        <w:top w:w="57" w:type="dxa"/>
        <w:bottom w:w="57" w:type="dxa"/>
      </w:tblCellMar>
    </w:tblPr>
    <w:tcPr>
      <w:shd w:val="clear" w:color="auto" w:fill="EEF2F4" w:themeFill="accent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z w:val="32"/>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style>
  <w:style w:type="paragraph" w:styleId="NoSpacing">
    <w:name w:val="No Spacing"/>
    <w:uiPriority w:val="1"/>
    <w:qFormat/>
    <w:rsid w:val="00ED6275"/>
    <w:pPr>
      <w:spacing w:after="0"/>
    </w:pPr>
    <w:rPr>
      <w:rFonts w:ascii="Verdana" w:hAnsi="Verdana"/>
    </w:rPr>
  </w:style>
  <w:style w:type="paragraph" w:styleId="TOC1">
    <w:name w:val="toc 1"/>
    <w:basedOn w:val="Normal"/>
    <w:next w:val="Normal"/>
    <w:autoRedefine/>
    <w:uiPriority w:val="39"/>
    <w:unhideWhenUsed/>
    <w:rsid w:val="00ED6275"/>
    <w:pPr>
      <w:tabs>
        <w:tab w:val="right" w:pos="9781"/>
      </w:tabs>
      <w:spacing w:before="240"/>
    </w:pPr>
    <w:rPr>
      <w:b/>
    </w:rPr>
  </w:style>
  <w:style w:type="paragraph" w:styleId="TOC2">
    <w:name w:val="toc 2"/>
    <w:basedOn w:val="Normal"/>
    <w:next w:val="Normal"/>
    <w:autoRedefine/>
    <w:uiPriority w:val="39"/>
    <w:unhideWhenUsed/>
    <w:rsid w:val="00ED6275"/>
    <w:pPr>
      <w:tabs>
        <w:tab w:val="right" w:pos="9771"/>
      </w:tabs>
      <w:spacing w:after="80"/>
      <w:ind w:left="363"/>
    </w:pPr>
    <w:rPr>
      <w:noProof/>
    </w:rPr>
  </w:style>
  <w:style w:type="paragraph" w:styleId="TOC3">
    <w:name w:val="toc 3"/>
    <w:basedOn w:val="Normal"/>
    <w:next w:val="Normal"/>
    <w:autoRedefine/>
    <w:uiPriority w:val="39"/>
    <w:unhideWhenUsed/>
    <w:rsid w:val="00ED6275"/>
    <w:pPr>
      <w:tabs>
        <w:tab w:val="right" w:pos="9771"/>
      </w:tabs>
      <w:spacing w:after="80"/>
      <w:ind w:left="720"/>
      <w:contextualSpacing/>
    </w:pPr>
    <w:rPr>
      <w:noProof/>
    </w:rPr>
  </w:style>
  <w:style w:type="paragraph" w:styleId="Header">
    <w:name w:val="header"/>
    <w:basedOn w:val="Normal"/>
    <w:link w:val="HeaderChar"/>
    <w:uiPriority w:val="99"/>
    <w:unhideWhenUsed/>
    <w:rsid w:val="00ED6275"/>
    <w:pPr>
      <w:tabs>
        <w:tab w:val="center" w:pos="4513"/>
        <w:tab w:val="right" w:pos="9026"/>
      </w:tabs>
      <w:spacing w:after="0"/>
    </w:pPr>
    <w:rPr>
      <w:sz w:val="20"/>
    </w:rPr>
  </w:style>
  <w:style w:type="character" w:customStyle="1" w:styleId="HeaderChar">
    <w:name w:val="Header Char"/>
    <w:basedOn w:val="DefaultParagraphFont"/>
    <w:link w:val="Header"/>
    <w:uiPriority w:val="99"/>
    <w:rsid w:val="00ED6275"/>
    <w:rPr>
      <w:sz w:val="20"/>
    </w:rPr>
  </w:style>
  <w:style w:type="paragraph" w:styleId="Footer">
    <w:name w:val="footer"/>
    <w:basedOn w:val="Normal"/>
    <w:link w:val="FooterChar"/>
    <w:uiPriority w:val="99"/>
    <w:rsid w:val="00ED6275"/>
    <w:pPr>
      <w:pBdr>
        <w:top w:val="single" w:sz="12" w:space="4" w:color="FAC41A" w:themeColor="accent1"/>
      </w:pBdr>
      <w:spacing w:before="240" w:after="0"/>
    </w:pPr>
    <w:rPr>
      <w:sz w:val="20"/>
      <w:szCs w:val="20"/>
    </w:rPr>
  </w:style>
  <w:style w:type="character" w:customStyle="1" w:styleId="FooterChar">
    <w:name w:val="Footer Char"/>
    <w:basedOn w:val="DefaultParagraphFont"/>
    <w:link w:val="Footer"/>
    <w:uiPriority w:val="99"/>
    <w:rsid w:val="00ED6275"/>
    <w:rPr>
      <w:sz w:val="20"/>
      <w:szCs w:val="20"/>
    </w:rPr>
  </w:style>
  <w:style w:type="paragraph" w:styleId="TOCHeading">
    <w:name w:val="TOC Heading"/>
    <w:basedOn w:val="Heading1"/>
    <w:next w:val="Normal"/>
    <w:uiPriority w:val="39"/>
    <w:unhideWhenUsed/>
    <w:qFormat/>
    <w:rsid w:val="00ED6275"/>
    <w:pPr>
      <w:pBdr>
        <w:right w:val="single" w:sz="8" w:space="2" w:color="FDE7A3" w:themeColor="accent1" w:themeTint="66"/>
      </w:pBdr>
      <w:spacing w:before="240" w:after="0"/>
      <w:outlineLvl w:val="9"/>
    </w:pPr>
    <w:rPr>
      <w:rFonts w:asciiTheme="majorHAnsi" w:hAnsiTheme="majorHAnsi"/>
      <w:spacing w:val="0"/>
    </w:rPr>
  </w:style>
  <w:style w:type="paragraph" w:customStyle="1" w:styleId="Documenttype">
    <w:name w:val="Document type"/>
    <w:basedOn w:val="Subtitle"/>
    <w:next w:val="Normal"/>
    <w:link w:val="DocumenttypeChar"/>
    <w:uiPriority w:val="38"/>
    <w:qFormat/>
    <w:rsid w:val="00ED6275"/>
    <w:pPr>
      <w:spacing w:after="120"/>
    </w:pPr>
    <w:rPr>
      <w:spacing w:val="20"/>
    </w:rPr>
  </w:style>
  <w:style w:type="paragraph" w:customStyle="1" w:styleId="Introparagraph">
    <w:name w:val="Intro paragraph"/>
    <w:basedOn w:val="Normal"/>
    <w:next w:val="Normal"/>
    <w:link w:val="IntroparagraphChar"/>
    <w:uiPriority w:val="7"/>
    <w:qFormat/>
    <w:rsid w:val="00ED6275"/>
    <w:rPr>
      <w:b/>
      <w:bCs/>
      <w:sz w:val="24"/>
      <w:szCs w:val="24"/>
    </w:rPr>
  </w:style>
  <w:style w:type="character" w:customStyle="1" w:styleId="DocumenttypeChar">
    <w:name w:val="Document type Char"/>
    <w:basedOn w:val="SubtitleChar"/>
    <w:link w:val="Documenttype"/>
    <w:uiPriority w:val="38"/>
    <w:rsid w:val="00ED6275"/>
    <w:rPr>
      <w:rFonts w:ascii="Calibri" w:eastAsiaTheme="minorEastAsia" w:hAnsi="Calibri"/>
      <w:spacing w:val="20"/>
      <w:sz w:val="40"/>
    </w:rPr>
  </w:style>
  <w:style w:type="paragraph" w:customStyle="1" w:styleId="Textboxgrey">
    <w:name w:val="Text box grey"/>
    <w:basedOn w:val="Normal"/>
    <w:link w:val="TextboxgreyChar"/>
    <w:uiPriority w:val="34"/>
    <w:qFormat/>
    <w:rsid w:val="00ED6275"/>
    <w:pPr>
      <w:pBdr>
        <w:top w:val="single" w:sz="8" w:space="12" w:color="EEF2F4" w:themeColor="accent3"/>
        <w:left w:val="single" w:sz="8" w:space="12" w:color="EEF2F4" w:themeColor="accent3"/>
        <w:bottom w:val="single" w:sz="8" w:space="12" w:color="EEF2F4" w:themeColor="accent3"/>
        <w:right w:val="single" w:sz="8" w:space="12" w:color="EEF2F4" w:themeColor="accent3"/>
      </w:pBdr>
      <w:shd w:val="clear" w:color="auto" w:fill="EEF2F4" w:themeFill="accent3"/>
      <w:ind w:left="240" w:right="240"/>
    </w:pPr>
  </w:style>
  <w:style w:type="character" w:customStyle="1" w:styleId="IntroparagraphChar">
    <w:name w:val="Intro paragraph Char"/>
    <w:basedOn w:val="DefaultParagraphFont"/>
    <w:link w:val="Introparagraph"/>
    <w:uiPriority w:val="7"/>
    <w:rsid w:val="00ED6275"/>
    <w:rPr>
      <w:b/>
      <w:bCs/>
      <w:sz w:val="24"/>
      <w:szCs w:val="24"/>
    </w:rPr>
  </w:style>
  <w:style w:type="paragraph" w:customStyle="1" w:styleId="Byline">
    <w:name w:val="Byline"/>
    <w:basedOn w:val="Caption"/>
    <w:next w:val="Normal"/>
    <w:link w:val="BylineChar"/>
    <w:uiPriority w:val="38"/>
    <w:qFormat/>
    <w:rsid w:val="00ED6275"/>
    <w:pPr>
      <w:spacing w:after="600"/>
    </w:pPr>
  </w:style>
  <w:style w:type="character" w:customStyle="1" w:styleId="TextboxgreyChar">
    <w:name w:val="Text box grey Char"/>
    <w:basedOn w:val="DefaultParagraphFont"/>
    <w:link w:val="Textboxgrey"/>
    <w:uiPriority w:val="34"/>
    <w:rsid w:val="00ED6275"/>
    <w:rPr>
      <w:shd w:val="clear" w:color="auto" w:fill="EEF2F4" w:themeFill="accent3"/>
    </w:rPr>
  </w:style>
  <w:style w:type="paragraph" w:customStyle="1" w:styleId="TextBoxgreyHeading">
    <w:name w:val="Text Box grey Heading"/>
    <w:basedOn w:val="Textboxgrey"/>
    <w:link w:val="TextBoxgreyHeadingChar"/>
    <w:uiPriority w:val="34"/>
    <w:qFormat/>
    <w:rsid w:val="00ED6275"/>
    <w:pPr>
      <w:spacing w:after="120"/>
    </w:pPr>
    <w:rPr>
      <w:rFonts w:asciiTheme="majorHAnsi" w:hAnsiTheme="majorHAnsi" w:cstheme="majorHAnsi"/>
      <w:b/>
      <w:bCs/>
      <w:sz w:val="28"/>
      <w:szCs w:val="28"/>
    </w:rPr>
  </w:style>
  <w:style w:type="character" w:customStyle="1" w:styleId="TextBoxgreyHeadingChar">
    <w:name w:val="Text Box grey Heading Char"/>
    <w:basedOn w:val="TextboxgreyChar"/>
    <w:link w:val="TextBoxgreyHeading"/>
    <w:uiPriority w:val="34"/>
    <w:rsid w:val="00ED6275"/>
    <w:rPr>
      <w:rFonts w:asciiTheme="majorHAnsi" w:hAnsiTheme="majorHAnsi" w:cstheme="majorHAnsi"/>
      <w:b/>
      <w:bCs/>
      <w:sz w:val="28"/>
      <w:szCs w:val="28"/>
      <w:shd w:val="clear" w:color="auto" w:fill="EEF2F4" w:themeFill="accent3"/>
    </w:rPr>
  </w:style>
  <w:style w:type="paragraph" w:customStyle="1" w:styleId="Numberedlist">
    <w:name w:val="Numbered list"/>
    <w:basedOn w:val="ListParagraph"/>
    <w:link w:val="NumberedlistChar"/>
    <w:uiPriority w:val="6"/>
    <w:qFormat/>
    <w:rsid w:val="00ED6275"/>
    <w:pPr>
      <w:numPr>
        <w:numId w:val="18"/>
      </w:numPr>
    </w:pPr>
  </w:style>
  <w:style w:type="character" w:customStyle="1" w:styleId="CaptionChar">
    <w:name w:val="Caption Char"/>
    <w:basedOn w:val="DefaultParagraphFont"/>
    <w:link w:val="Caption"/>
    <w:uiPriority w:val="33"/>
    <w:rsid w:val="00ED6275"/>
    <w:rPr>
      <w:rFonts w:ascii="Calibri" w:hAnsi="Calibri"/>
      <w:b/>
      <w:iCs/>
      <w:sz w:val="24"/>
      <w:szCs w:val="18"/>
    </w:rPr>
  </w:style>
  <w:style w:type="character" w:customStyle="1" w:styleId="BylineChar">
    <w:name w:val="Byline Char"/>
    <w:basedOn w:val="CaptionChar"/>
    <w:link w:val="Byline"/>
    <w:uiPriority w:val="38"/>
    <w:rsid w:val="00ED6275"/>
    <w:rPr>
      <w:rFonts w:ascii="Calibri" w:hAnsi="Calibri"/>
      <w:b/>
      <w:iCs/>
      <w:sz w:val="24"/>
      <w:szCs w:val="18"/>
    </w:rPr>
  </w:style>
  <w:style w:type="character" w:styleId="UnresolvedMention">
    <w:name w:val="Unresolved Mention"/>
    <w:basedOn w:val="DefaultParagraphFont"/>
    <w:uiPriority w:val="99"/>
    <w:semiHidden/>
    <w:unhideWhenUsed/>
    <w:rsid w:val="00ED6275"/>
    <w:rPr>
      <w:color w:val="605E5C"/>
      <w:shd w:val="clear" w:color="auto" w:fill="E1DFDD"/>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rsid w:val="00ED6275"/>
  </w:style>
  <w:style w:type="character" w:customStyle="1" w:styleId="NumberedlistChar">
    <w:name w:val="Numbered list Char"/>
    <w:basedOn w:val="ListParagraphChar"/>
    <w:link w:val="Numberedlist"/>
    <w:uiPriority w:val="6"/>
    <w:rsid w:val="00ED6275"/>
  </w:style>
  <w:style w:type="paragraph" w:customStyle="1" w:styleId="Textboxyellow">
    <w:name w:val="Text box yellow"/>
    <w:basedOn w:val="Textboxgrey"/>
    <w:uiPriority w:val="34"/>
    <w:qFormat/>
    <w:rsid w:val="00ED6275"/>
    <w:pPr>
      <w:pBdr>
        <w:top w:val="single" w:sz="8" w:space="12" w:color="FEF6DC" w:themeColor="accent4"/>
        <w:left w:val="single" w:sz="8" w:space="12" w:color="FEF6DC" w:themeColor="accent4"/>
        <w:bottom w:val="single" w:sz="8" w:space="12" w:color="FEF6DC" w:themeColor="accent4"/>
        <w:right w:val="single" w:sz="8" w:space="12" w:color="FEF6DC" w:themeColor="accent4"/>
      </w:pBdr>
      <w:shd w:val="clear" w:color="auto" w:fill="FEF6DC" w:themeFill="accent4"/>
    </w:pPr>
  </w:style>
  <w:style w:type="table" w:customStyle="1" w:styleId="IAGTable">
    <w:name w:val="IAG Table"/>
    <w:basedOn w:val="GridTable5Dark-Accent1"/>
    <w:uiPriority w:val="99"/>
    <w:rsid w:val="00ED6275"/>
    <w:tblPr/>
    <w:tcPr>
      <w:shd w:val="clear" w:color="auto" w:fill="EEF2F4" w:themeFill="accent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pacing w:val="10"/>
        <w:sz w:val="28"/>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style>
  <w:style w:type="paragraph" w:customStyle="1" w:styleId="Textboxtan">
    <w:name w:val="Text box tan"/>
    <w:basedOn w:val="Textboxyellow"/>
    <w:uiPriority w:val="34"/>
    <w:qFormat/>
    <w:rsid w:val="00ED6275"/>
    <w:pPr>
      <w:pBdr>
        <w:top w:val="single" w:sz="8" w:space="12" w:color="E6E5D7" w:themeColor="accent2"/>
        <w:left w:val="single" w:sz="8" w:space="12" w:color="E6E5D7" w:themeColor="accent2"/>
        <w:bottom w:val="single" w:sz="8" w:space="12" w:color="E6E5D7" w:themeColor="accent2"/>
        <w:right w:val="single" w:sz="8" w:space="12" w:color="E6E5D7" w:themeColor="accent2"/>
      </w:pBdr>
      <w:shd w:val="clear" w:color="auto" w:fill="E6E5D7" w:themeFill="accent2"/>
    </w:pPr>
  </w:style>
  <w:style w:type="table" w:styleId="GridTable4-Accent1">
    <w:name w:val="Grid Table 4 Accent 1"/>
    <w:basedOn w:val="TableNormal"/>
    <w:uiPriority w:val="49"/>
    <w:rsid w:val="00ED6275"/>
    <w:pPr>
      <w:spacing w:after="0"/>
    </w:pPr>
    <w:tblPr>
      <w:tblStyleRowBandSize w:val="1"/>
      <w:tblStyleColBandSize w:val="1"/>
      <w:tblBorders>
        <w:top w:val="single" w:sz="4" w:space="0" w:color="FCDB75" w:themeColor="accent1" w:themeTint="99"/>
        <w:left w:val="single" w:sz="4" w:space="0" w:color="FCDB75" w:themeColor="accent1" w:themeTint="99"/>
        <w:bottom w:val="single" w:sz="4" w:space="0" w:color="FCDB75" w:themeColor="accent1" w:themeTint="99"/>
        <w:right w:val="single" w:sz="4" w:space="0" w:color="FCDB75" w:themeColor="accent1" w:themeTint="99"/>
        <w:insideH w:val="single" w:sz="4" w:space="0" w:color="FCDB75" w:themeColor="accent1" w:themeTint="99"/>
        <w:insideV w:val="single" w:sz="4" w:space="0" w:color="FCDB75" w:themeColor="accent1" w:themeTint="99"/>
      </w:tblBorders>
    </w:tblPr>
    <w:tblStylePr w:type="firstRow">
      <w:rPr>
        <w:b/>
        <w:bCs/>
        <w:color w:val="FFFFFF" w:themeColor="background1"/>
      </w:rPr>
      <w:tblPr/>
      <w:tcPr>
        <w:tcBorders>
          <w:top w:val="single" w:sz="4" w:space="0" w:color="FAC41A" w:themeColor="accent1"/>
          <w:left w:val="single" w:sz="4" w:space="0" w:color="FAC41A" w:themeColor="accent1"/>
          <w:bottom w:val="single" w:sz="4" w:space="0" w:color="FAC41A" w:themeColor="accent1"/>
          <w:right w:val="single" w:sz="4" w:space="0" w:color="FAC41A" w:themeColor="accent1"/>
          <w:insideH w:val="nil"/>
          <w:insideV w:val="nil"/>
        </w:tcBorders>
        <w:shd w:val="clear" w:color="auto" w:fill="FAC41A" w:themeFill="accent1"/>
      </w:tcPr>
    </w:tblStylePr>
    <w:tblStylePr w:type="lastRow">
      <w:rPr>
        <w:b/>
        <w:bCs/>
      </w:rPr>
      <w:tblPr/>
      <w:tcPr>
        <w:tcBorders>
          <w:top w:val="double" w:sz="4" w:space="0" w:color="FAC41A" w:themeColor="accent1"/>
        </w:tcBorders>
      </w:tcPr>
    </w:tblStylePr>
    <w:tblStylePr w:type="firstCol">
      <w:rPr>
        <w:b/>
        <w:bCs/>
      </w:rPr>
    </w:tblStylePr>
    <w:tblStylePr w:type="lastCol">
      <w:rPr>
        <w:b/>
        <w:bCs/>
      </w:rPr>
    </w:tblStylePr>
    <w:tblStylePr w:type="band1Vert">
      <w:tblPr/>
      <w:tcPr>
        <w:shd w:val="clear" w:color="auto" w:fill="FEF3D1" w:themeFill="accent1" w:themeFillTint="33"/>
      </w:tcPr>
    </w:tblStylePr>
    <w:tblStylePr w:type="band1Horz">
      <w:tblPr/>
      <w:tcPr>
        <w:shd w:val="clear" w:color="auto" w:fill="FEF3D1" w:themeFill="accent1" w:themeFillTint="33"/>
      </w:tcPr>
    </w:tblStylePr>
  </w:style>
  <w:style w:type="table" w:styleId="ListTable4-Accent1">
    <w:name w:val="List Table 4 Accent 1"/>
    <w:basedOn w:val="TableNormal"/>
    <w:uiPriority w:val="49"/>
    <w:rsid w:val="00ED6275"/>
    <w:pPr>
      <w:spacing w:after="0"/>
    </w:pPr>
    <w:tblPr>
      <w:tblStyleRowBandSize w:val="1"/>
      <w:tblStyleColBandSize w:val="1"/>
      <w:tblBorders>
        <w:top w:val="single" w:sz="4" w:space="0" w:color="FCDB75" w:themeColor="accent1" w:themeTint="99"/>
        <w:left w:val="single" w:sz="4" w:space="0" w:color="FCDB75" w:themeColor="accent1" w:themeTint="99"/>
        <w:bottom w:val="single" w:sz="4" w:space="0" w:color="FCDB75" w:themeColor="accent1" w:themeTint="99"/>
        <w:right w:val="single" w:sz="4" w:space="0" w:color="FCDB75" w:themeColor="accent1" w:themeTint="99"/>
        <w:insideH w:val="single" w:sz="4" w:space="0" w:color="FCDB75" w:themeColor="accent1" w:themeTint="99"/>
      </w:tblBorders>
    </w:tblPr>
    <w:tblStylePr w:type="firstRow">
      <w:rPr>
        <w:b/>
        <w:bCs/>
        <w:color w:val="FFFFFF" w:themeColor="background1"/>
      </w:rPr>
      <w:tblPr/>
      <w:tcPr>
        <w:tcBorders>
          <w:top w:val="single" w:sz="4" w:space="0" w:color="FAC41A" w:themeColor="accent1"/>
          <w:left w:val="single" w:sz="4" w:space="0" w:color="FAC41A" w:themeColor="accent1"/>
          <w:bottom w:val="single" w:sz="4" w:space="0" w:color="FAC41A" w:themeColor="accent1"/>
          <w:right w:val="single" w:sz="4" w:space="0" w:color="FAC41A" w:themeColor="accent1"/>
          <w:insideH w:val="nil"/>
        </w:tcBorders>
        <w:shd w:val="clear" w:color="auto" w:fill="FAC41A" w:themeFill="accent1"/>
      </w:tcPr>
    </w:tblStylePr>
    <w:tblStylePr w:type="lastRow">
      <w:rPr>
        <w:b/>
        <w:bCs/>
      </w:rPr>
      <w:tblPr/>
      <w:tcPr>
        <w:tcBorders>
          <w:top w:val="double" w:sz="4" w:space="0" w:color="FCDB75" w:themeColor="accent1" w:themeTint="99"/>
        </w:tcBorders>
      </w:tcPr>
    </w:tblStylePr>
    <w:tblStylePr w:type="firstCol">
      <w:rPr>
        <w:b/>
        <w:bCs/>
      </w:rPr>
    </w:tblStylePr>
    <w:tblStylePr w:type="lastCol">
      <w:rPr>
        <w:b/>
        <w:bCs/>
      </w:rPr>
    </w:tblStylePr>
    <w:tblStylePr w:type="band1Vert">
      <w:tblPr/>
      <w:tcPr>
        <w:shd w:val="clear" w:color="auto" w:fill="FEF3D1" w:themeFill="accent1" w:themeFillTint="33"/>
      </w:tcPr>
    </w:tblStylePr>
    <w:tblStylePr w:type="band1Horz">
      <w:tblPr/>
      <w:tcPr>
        <w:shd w:val="clear" w:color="auto" w:fill="FEF3D1" w:themeFill="accent1" w:themeFillTint="33"/>
      </w:tcPr>
    </w:tblStylePr>
  </w:style>
  <w:style w:type="table" w:customStyle="1" w:styleId="IAGListTable">
    <w:name w:val="IAG List Table"/>
    <w:basedOn w:val="IAGTable"/>
    <w:uiPriority w:val="99"/>
    <w:rsid w:val="00ED6275"/>
    <w:tblPr>
      <w:tblBorders>
        <w:bottom w:val="none" w:sz="0" w:space="0" w:color="auto"/>
        <w:insideH w:val="single" w:sz="8" w:space="0" w:color="FAC41A" w:themeColor="accent1"/>
        <w:insideV w:val="none" w:sz="0" w:space="0" w:color="auto"/>
      </w:tblBorders>
    </w:tblPr>
    <w:tcPr>
      <w:shd w:val="clear" w:color="auto" w:fill="auto"/>
    </w:tcPr>
    <w:tblStylePr w:type="firstRow">
      <w:pPr>
        <w:wordWrap/>
        <w:spacing w:beforeLines="0" w:before="0" w:beforeAutospacing="0" w:afterLines="0" w:after="0" w:afterAutospacing="0" w:line="240" w:lineRule="auto"/>
      </w:pPr>
      <w:rPr>
        <w:rFonts w:asciiTheme="majorHAnsi" w:hAnsiTheme="majorHAnsi"/>
        <w:b/>
        <w:bCs/>
        <w:i w:val="0"/>
        <w:color w:val="000000" w:themeColor="text1"/>
        <w:spacing w:val="10"/>
        <w:sz w:val="28"/>
      </w:rPr>
      <w:tblPr/>
      <w:trPr>
        <w:tblHeader/>
      </w:trPr>
      <w:tcPr>
        <w:tcBorders>
          <w:top w:val="nil"/>
          <w:left w:val="nil"/>
          <w:bottom w:val="nil"/>
          <w:right w:val="nil"/>
          <w:insideH w:val="nil"/>
          <w:insideV w:val="nil"/>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nil"/>
          <w:insideV w:val="nil"/>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tblStylePr w:type="band1Horz">
      <w:tblPr/>
      <w:tcPr>
        <w:tcBorders>
          <w:top w:val="single" w:sz="8" w:space="0" w:color="FAC41A" w:themeColor="accent1"/>
          <w:left w:val="nil"/>
          <w:bottom w:val="single" w:sz="8" w:space="0" w:color="FAC41A" w:themeColor="accent1"/>
          <w:right w:val="nil"/>
          <w:insideH w:val="nil"/>
          <w:insideV w:val="nil"/>
          <w:tl2br w:val="nil"/>
          <w:tr2bl w:val="nil"/>
        </w:tcBorders>
        <w:shd w:val="clear" w:color="auto" w:fill="auto"/>
      </w:tcPr>
    </w:tblStylePr>
    <w:tblStylePr w:type="band2Horz">
      <w:tblPr/>
      <w:tcPr>
        <w:tcBorders>
          <w:top w:val="single" w:sz="8" w:space="0" w:color="FAC41A" w:themeColor="accent1"/>
          <w:left w:val="nil"/>
          <w:bottom w:val="single" w:sz="8" w:space="0" w:color="FAC41A" w:themeColor="accent1"/>
          <w:right w:val="nil"/>
          <w:insideH w:val="nil"/>
          <w:insideV w:val="nil"/>
          <w:tl2br w:val="nil"/>
          <w:tr2bl w:val="nil"/>
        </w:tcBorders>
        <w:shd w:val="clear" w:color="auto" w:fill="FEF6DC" w:themeFill="accent4"/>
      </w:tcPr>
    </w:tblStylePr>
  </w:style>
  <w:style w:type="character" w:styleId="CommentReference">
    <w:name w:val="annotation reference"/>
    <w:basedOn w:val="DefaultParagraphFont"/>
    <w:uiPriority w:val="99"/>
    <w:semiHidden/>
    <w:unhideWhenUsed/>
    <w:rsid w:val="007273AF"/>
    <w:rPr>
      <w:sz w:val="16"/>
      <w:szCs w:val="16"/>
    </w:rPr>
  </w:style>
  <w:style w:type="paragraph" w:styleId="CommentText">
    <w:name w:val="annotation text"/>
    <w:basedOn w:val="Normal"/>
    <w:link w:val="CommentTextChar"/>
    <w:uiPriority w:val="99"/>
    <w:unhideWhenUsed/>
    <w:rsid w:val="007273AF"/>
    <w:rPr>
      <w:sz w:val="20"/>
      <w:szCs w:val="20"/>
    </w:rPr>
  </w:style>
  <w:style w:type="character" w:customStyle="1" w:styleId="CommentTextChar">
    <w:name w:val="Comment Text Char"/>
    <w:basedOn w:val="DefaultParagraphFont"/>
    <w:link w:val="CommentText"/>
    <w:uiPriority w:val="99"/>
    <w:rsid w:val="007273AF"/>
    <w:rPr>
      <w:sz w:val="20"/>
      <w:szCs w:val="20"/>
    </w:rPr>
  </w:style>
  <w:style w:type="paragraph" w:styleId="CommentSubject">
    <w:name w:val="annotation subject"/>
    <w:basedOn w:val="CommentText"/>
    <w:next w:val="CommentText"/>
    <w:link w:val="CommentSubjectChar"/>
    <w:uiPriority w:val="99"/>
    <w:semiHidden/>
    <w:unhideWhenUsed/>
    <w:rsid w:val="007273AF"/>
    <w:rPr>
      <w:b/>
      <w:bCs/>
    </w:rPr>
  </w:style>
  <w:style w:type="character" w:customStyle="1" w:styleId="CommentSubjectChar">
    <w:name w:val="Comment Subject Char"/>
    <w:basedOn w:val="CommentTextChar"/>
    <w:link w:val="CommentSubject"/>
    <w:uiPriority w:val="99"/>
    <w:semiHidden/>
    <w:rsid w:val="007273AF"/>
    <w:rPr>
      <w:b/>
      <w:bCs/>
      <w:sz w:val="20"/>
      <w:szCs w:val="20"/>
    </w:rPr>
  </w:style>
  <w:style w:type="character" w:styleId="FollowedHyperlink">
    <w:name w:val="FollowedHyperlink"/>
    <w:basedOn w:val="DefaultParagraphFont"/>
    <w:uiPriority w:val="99"/>
    <w:semiHidden/>
    <w:unhideWhenUsed/>
    <w:rsid w:val="00315ABD"/>
    <w:rPr>
      <w:color w:val="1A3965" w:themeColor="followedHyperlink"/>
      <w:u w:val="single"/>
    </w:rPr>
  </w:style>
  <w:style w:type="paragraph" w:customStyle="1" w:styleId="Textboxyellowheading">
    <w:name w:val="Text box yellow heading"/>
    <w:basedOn w:val="TextBoxgreyHeading"/>
    <w:next w:val="Textboxyellow"/>
    <w:uiPriority w:val="34"/>
    <w:qFormat/>
    <w:rsid w:val="00ED6275"/>
    <w:pPr>
      <w:pBdr>
        <w:top w:val="single" w:sz="8" w:space="12" w:color="FEF6DC" w:themeColor="accent4"/>
        <w:left w:val="single" w:sz="8" w:space="12" w:color="FEF6DC" w:themeColor="accent4"/>
        <w:bottom w:val="single" w:sz="8" w:space="12" w:color="FEF6DC" w:themeColor="accent4"/>
        <w:right w:val="single" w:sz="8" w:space="12" w:color="FEF6DC" w:themeColor="accent4"/>
      </w:pBdr>
      <w:shd w:val="clear" w:color="auto" w:fill="FEF6DC" w:themeFill="accent4"/>
    </w:pPr>
  </w:style>
  <w:style w:type="paragraph" w:customStyle="1" w:styleId="Textboxtanheading">
    <w:name w:val="Text box tan heading"/>
    <w:basedOn w:val="Textboxyellowheading"/>
    <w:next w:val="Textboxtan"/>
    <w:uiPriority w:val="34"/>
    <w:qFormat/>
    <w:rsid w:val="00ED6275"/>
    <w:pPr>
      <w:pBdr>
        <w:top w:val="single" w:sz="8" w:space="12" w:color="E6E5D7" w:themeColor="accent2"/>
        <w:left w:val="single" w:sz="8" w:space="12" w:color="E6E5D7" w:themeColor="accent2"/>
        <w:bottom w:val="single" w:sz="8" w:space="12" w:color="E6E5D7" w:themeColor="accent2"/>
        <w:right w:val="single" w:sz="8" w:space="12" w:color="E6E5D7" w:themeColor="accent2"/>
      </w:pBdr>
      <w:shd w:val="clear" w:color="auto" w:fill="E6E5D7" w:themeFill="accent2"/>
    </w:pPr>
  </w:style>
  <w:style w:type="paragraph" w:styleId="Revision">
    <w:name w:val="Revision"/>
    <w:hidden/>
    <w:uiPriority w:val="99"/>
    <w:semiHidden/>
    <w:rsid w:val="000D77D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923">
      <w:bodyDiv w:val="1"/>
      <w:marLeft w:val="0"/>
      <w:marRight w:val="0"/>
      <w:marTop w:val="0"/>
      <w:marBottom w:val="0"/>
      <w:divBdr>
        <w:top w:val="none" w:sz="0" w:space="0" w:color="auto"/>
        <w:left w:val="none" w:sz="0" w:space="0" w:color="auto"/>
        <w:bottom w:val="none" w:sz="0" w:space="0" w:color="auto"/>
        <w:right w:val="none" w:sz="0" w:space="0" w:color="auto"/>
      </w:divBdr>
      <w:divsChild>
        <w:div w:id="1091975702">
          <w:marLeft w:val="480"/>
          <w:marRight w:val="0"/>
          <w:marTop w:val="0"/>
          <w:marBottom w:val="0"/>
          <w:divBdr>
            <w:top w:val="none" w:sz="0" w:space="0" w:color="auto"/>
            <w:left w:val="none" w:sz="0" w:space="0" w:color="auto"/>
            <w:bottom w:val="none" w:sz="0" w:space="0" w:color="auto"/>
            <w:right w:val="none" w:sz="0" w:space="0" w:color="auto"/>
          </w:divBdr>
          <w:divsChild>
            <w:div w:id="12963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254">
      <w:bodyDiv w:val="1"/>
      <w:marLeft w:val="0"/>
      <w:marRight w:val="0"/>
      <w:marTop w:val="0"/>
      <w:marBottom w:val="0"/>
      <w:divBdr>
        <w:top w:val="none" w:sz="0" w:space="0" w:color="auto"/>
        <w:left w:val="none" w:sz="0" w:space="0" w:color="auto"/>
        <w:bottom w:val="none" w:sz="0" w:space="0" w:color="auto"/>
        <w:right w:val="none" w:sz="0" w:space="0" w:color="auto"/>
      </w:divBdr>
    </w:div>
    <w:div w:id="138503196">
      <w:bodyDiv w:val="1"/>
      <w:marLeft w:val="0"/>
      <w:marRight w:val="0"/>
      <w:marTop w:val="0"/>
      <w:marBottom w:val="0"/>
      <w:divBdr>
        <w:top w:val="none" w:sz="0" w:space="0" w:color="auto"/>
        <w:left w:val="none" w:sz="0" w:space="0" w:color="auto"/>
        <w:bottom w:val="none" w:sz="0" w:space="0" w:color="auto"/>
        <w:right w:val="none" w:sz="0" w:space="0" w:color="auto"/>
      </w:divBdr>
      <w:divsChild>
        <w:div w:id="1027022427">
          <w:marLeft w:val="480"/>
          <w:marRight w:val="0"/>
          <w:marTop w:val="0"/>
          <w:marBottom w:val="0"/>
          <w:divBdr>
            <w:top w:val="none" w:sz="0" w:space="0" w:color="auto"/>
            <w:left w:val="none" w:sz="0" w:space="0" w:color="auto"/>
            <w:bottom w:val="none" w:sz="0" w:space="0" w:color="auto"/>
            <w:right w:val="none" w:sz="0" w:space="0" w:color="auto"/>
          </w:divBdr>
          <w:divsChild>
            <w:div w:id="7177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193">
      <w:bodyDiv w:val="1"/>
      <w:marLeft w:val="0"/>
      <w:marRight w:val="0"/>
      <w:marTop w:val="0"/>
      <w:marBottom w:val="0"/>
      <w:divBdr>
        <w:top w:val="none" w:sz="0" w:space="0" w:color="auto"/>
        <w:left w:val="none" w:sz="0" w:space="0" w:color="auto"/>
        <w:bottom w:val="none" w:sz="0" w:space="0" w:color="auto"/>
        <w:right w:val="none" w:sz="0" w:space="0" w:color="auto"/>
      </w:divBdr>
      <w:divsChild>
        <w:div w:id="1893734539">
          <w:marLeft w:val="0"/>
          <w:marRight w:val="0"/>
          <w:marTop w:val="0"/>
          <w:marBottom w:val="0"/>
          <w:divBdr>
            <w:top w:val="none" w:sz="0" w:space="0" w:color="auto"/>
            <w:left w:val="none" w:sz="0" w:space="0" w:color="auto"/>
            <w:bottom w:val="none" w:sz="0" w:space="0" w:color="auto"/>
            <w:right w:val="none" w:sz="0" w:space="0" w:color="auto"/>
          </w:divBdr>
          <w:divsChild>
            <w:div w:id="20802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7033">
      <w:bodyDiv w:val="1"/>
      <w:marLeft w:val="0"/>
      <w:marRight w:val="0"/>
      <w:marTop w:val="0"/>
      <w:marBottom w:val="0"/>
      <w:divBdr>
        <w:top w:val="none" w:sz="0" w:space="0" w:color="auto"/>
        <w:left w:val="none" w:sz="0" w:space="0" w:color="auto"/>
        <w:bottom w:val="none" w:sz="0" w:space="0" w:color="auto"/>
        <w:right w:val="none" w:sz="0" w:space="0" w:color="auto"/>
      </w:divBdr>
    </w:div>
    <w:div w:id="437335229">
      <w:bodyDiv w:val="1"/>
      <w:marLeft w:val="0"/>
      <w:marRight w:val="0"/>
      <w:marTop w:val="0"/>
      <w:marBottom w:val="0"/>
      <w:divBdr>
        <w:top w:val="none" w:sz="0" w:space="0" w:color="auto"/>
        <w:left w:val="none" w:sz="0" w:space="0" w:color="auto"/>
        <w:bottom w:val="none" w:sz="0" w:space="0" w:color="auto"/>
        <w:right w:val="none" w:sz="0" w:space="0" w:color="auto"/>
      </w:divBdr>
      <w:divsChild>
        <w:div w:id="1305357589">
          <w:marLeft w:val="0"/>
          <w:marRight w:val="0"/>
          <w:marTop w:val="0"/>
          <w:marBottom w:val="0"/>
          <w:divBdr>
            <w:top w:val="none" w:sz="0" w:space="0" w:color="auto"/>
            <w:left w:val="none" w:sz="0" w:space="0" w:color="auto"/>
            <w:bottom w:val="none" w:sz="0" w:space="0" w:color="auto"/>
            <w:right w:val="none" w:sz="0" w:space="0" w:color="auto"/>
          </w:divBdr>
        </w:div>
      </w:divsChild>
    </w:div>
    <w:div w:id="452210426">
      <w:bodyDiv w:val="1"/>
      <w:marLeft w:val="0"/>
      <w:marRight w:val="0"/>
      <w:marTop w:val="0"/>
      <w:marBottom w:val="0"/>
      <w:divBdr>
        <w:top w:val="none" w:sz="0" w:space="0" w:color="auto"/>
        <w:left w:val="none" w:sz="0" w:space="0" w:color="auto"/>
        <w:bottom w:val="none" w:sz="0" w:space="0" w:color="auto"/>
        <w:right w:val="none" w:sz="0" w:space="0" w:color="auto"/>
      </w:divBdr>
      <w:divsChild>
        <w:div w:id="1324429619">
          <w:marLeft w:val="480"/>
          <w:marRight w:val="0"/>
          <w:marTop w:val="0"/>
          <w:marBottom w:val="0"/>
          <w:divBdr>
            <w:top w:val="none" w:sz="0" w:space="0" w:color="auto"/>
            <w:left w:val="none" w:sz="0" w:space="0" w:color="auto"/>
            <w:bottom w:val="none" w:sz="0" w:space="0" w:color="auto"/>
            <w:right w:val="none" w:sz="0" w:space="0" w:color="auto"/>
          </w:divBdr>
          <w:divsChild>
            <w:div w:id="1396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4623">
      <w:bodyDiv w:val="1"/>
      <w:marLeft w:val="0"/>
      <w:marRight w:val="0"/>
      <w:marTop w:val="0"/>
      <w:marBottom w:val="0"/>
      <w:divBdr>
        <w:top w:val="none" w:sz="0" w:space="0" w:color="auto"/>
        <w:left w:val="none" w:sz="0" w:space="0" w:color="auto"/>
        <w:bottom w:val="none" w:sz="0" w:space="0" w:color="auto"/>
        <w:right w:val="none" w:sz="0" w:space="0" w:color="auto"/>
      </w:divBdr>
      <w:divsChild>
        <w:div w:id="998458137">
          <w:marLeft w:val="0"/>
          <w:marRight w:val="0"/>
          <w:marTop w:val="0"/>
          <w:marBottom w:val="0"/>
          <w:divBdr>
            <w:top w:val="none" w:sz="0" w:space="0" w:color="auto"/>
            <w:left w:val="none" w:sz="0" w:space="0" w:color="auto"/>
            <w:bottom w:val="none" w:sz="0" w:space="0" w:color="auto"/>
            <w:right w:val="none" w:sz="0" w:space="0" w:color="auto"/>
          </w:divBdr>
          <w:divsChild>
            <w:div w:id="1076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2529">
      <w:bodyDiv w:val="1"/>
      <w:marLeft w:val="0"/>
      <w:marRight w:val="0"/>
      <w:marTop w:val="0"/>
      <w:marBottom w:val="0"/>
      <w:divBdr>
        <w:top w:val="none" w:sz="0" w:space="0" w:color="auto"/>
        <w:left w:val="none" w:sz="0" w:space="0" w:color="auto"/>
        <w:bottom w:val="none" w:sz="0" w:space="0" w:color="auto"/>
        <w:right w:val="none" w:sz="0" w:space="0" w:color="auto"/>
      </w:divBdr>
      <w:divsChild>
        <w:div w:id="876815316">
          <w:marLeft w:val="0"/>
          <w:marRight w:val="0"/>
          <w:marTop w:val="0"/>
          <w:marBottom w:val="0"/>
          <w:divBdr>
            <w:top w:val="none" w:sz="0" w:space="0" w:color="auto"/>
            <w:left w:val="none" w:sz="0" w:space="0" w:color="auto"/>
            <w:bottom w:val="none" w:sz="0" w:space="0" w:color="auto"/>
            <w:right w:val="none" w:sz="0" w:space="0" w:color="auto"/>
          </w:divBdr>
          <w:divsChild>
            <w:div w:id="15127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5244">
      <w:bodyDiv w:val="1"/>
      <w:marLeft w:val="0"/>
      <w:marRight w:val="0"/>
      <w:marTop w:val="0"/>
      <w:marBottom w:val="0"/>
      <w:divBdr>
        <w:top w:val="none" w:sz="0" w:space="0" w:color="auto"/>
        <w:left w:val="none" w:sz="0" w:space="0" w:color="auto"/>
        <w:bottom w:val="none" w:sz="0" w:space="0" w:color="auto"/>
        <w:right w:val="none" w:sz="0" w:space="0" w:color="auto"/>
      </w:divBdr>
      <w:divsChild>
        <w:div w:id="904995210">
          <w:marLeft w:val="0"/>
          <w:marRight w:val="0"/>
          <w:marTop w:val="0"/>
          <w:marBottom w:val="0"/>
          <w:divBdr>
            <w:top w:val="none" w:sz="0" w:space="0" w:color="auto"/>
            <w:left w:val="none" w:sz="0" w:space="0" w:color="auto"/>
            <w:bottom w:val="none" w:sz="0" w:space="0" w:color="auto"/>
            <w:right w:val="none" w:sz="0" w:space="0" w:color="auto"/>
          </w:divBdr>
        </w:div>
      </w:divsChild>
    </w:div>
    <w:div w:id="977298460">
      <w:bodyDiv w:val="1"/>
      <w:marLeft w:val="0"/>
      <w:marRight w:val="0"/>
      <w:marTop w:val="0"/>
      <w:marBottom w:val="0"/>
      <w:divBdr>
        <w:top w:val="none" w:sz="0" w:space="0" w:color="auto"/>
        <w:left w:val="none" w:sz="0" w:space="0" w:color="auto"/>
        <w:bottom w:val="none" w:sz="0" w:space="0" w:color="auto"/>
        <w:right w:val="none" w:sz="0" w:space="0" w:color="auto"/>
      </w:divBdr>
      <w:divsChild>
        <w:div w:id="826870713">
          <w:marLeft w:val="480"/>
          <w:marRight w:val="0"/>
          <w:marTop w:val="0"/>
          <w:marBottom w:val="0"/>
          <w:divBdr>
            <w:top w:val="none" w:sz="0" w:space="0" w:color="auto"/>
            <w:left w:val="none" w:sz="0" w:space="0" w:color="auto"/>
            <w:bottom w:val="none" w:sz="0" w:space="0" w:color="auto"/>
            <w:right w:val="none" w:sz="0" w:space="0" w:color="auto"/>
          </w:divBdr>
          <w:divsChild>
            <w:div w:id="1487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9287">
      <w:bodyDiv w:val="1"/>
      <w:marLeft w:val="0"/>
      <w:marRight w:val="0"/>
      <w:marTop w:val="0"/>
      <w:marBottom w:val="0"/>
      <w:divBdr>
        <w:top w:val="none" w:sz="0" w:space="0" w:color="auto"/>
        <w:left w:val="none" w:sz="0" w:space="0" w:color="auto"/>
        <w:bottom w:val="none" w:sz="0" w:space="0" w:color="auto"/>
        <w:right w:val="none" w:sz="0" w:space="0" w:color="auto"/>
      </w:divBdr>
      <w:divsChild>
        <w:div w:id="512379370">
          <w:marLeft w:val="480"/>
          <w:marRight w:val="0"/>
          <w:marTop w:val="0"/>
          <w:marBottom w:val="0"/>
          <w:divBdr>
            <w:top w:val="none" w:sz="0" w:space="0" w:color="auto"/>
            <w:left w:val="none" w:sz="0" w:space="0" w:color="auto"/>
            <w:bottom w:val="none" w:sz="0" w:space="0" w:color="auto"/>
            <w:right w:val="none" w:sz="0" w:space="0" w:color="auto"/>
          </w:divBdr>
          <w:divsChild>
            <w:div w:id="8011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1214">
      <w:bodyDiv w:val="1"/>
      <w:marLeft w:val="0"/>
      <w:marRight w:val="0"/>
      <w:marTop w:val="0"/>
      <w:marBottom w:val="0"/>
      <w:divBdr>
        <w:top w:val="none" w:sz="0" w:space="0" w:color="auto"/>
        <w:left w:val="none" w:sz="0" w:space="0" w:color="auto"/>
        <w:bottom w:val="none" w:sz="0" w:space="0" w:color="auto"/>
        <w:right w:val="none" w:sz="0" w:space="0" w:color="auto"/>
      </w:divBdr>
      <w:divsChild>
        <w:div w:id="431630754">
          <w:marLeft w:val="0"/>
          <w:marRight w:val="0"/>
          <w:marTop w:val="0"/>
          <w:marBottom w:val="0"/>
          <w:divBdr>
            <w:top w:val="none" w:sz="0" w:space="0" w:color="auto"/>
            <w:left w:val="none" w:sz="0" w:space="0" w:color="auto"/>
            <w:bottom w:val="none" w:sz="0" w:space="0" w:color="auto"/>
            <w:right w:val="none" w:sz="0" w:space="0" w:color="auto"/>
          </w:divBdr>
        </w:div>
      </w:divsChild>
    </w:div>
    <w:div w:id="1077438188">
      <w:bodyDiv w:val="1"/>
      <w:marLeft w:val="0"/>
      <w:marRight w:val="0"/>
      <w:marTop w:val="0"/>
      <w:marBottom w:val="0"/>
      <w:divBdr>
        <w:top w:val="none" w:sz="0" w:space="0" w:color="auto"/>
        <w:left w:val="none" w:sz="0" w:space="0" w:color="auto"/>
        <w:bottom w:val="none" w:sz="0" w:space="0" w:color="auto"/>
        <w:right w:val="none" w:sz="0" w:space="0" w:color="auto"/>
      </w:divBdr>
      <w:divsChild>
        <w:div w:id="730882230">
          <w:marLeft w:val="480"/>
          <w:marRight w:val="0"/>
          <w:marTop w:val="0"/>
          <w:marBottom w:val="0"/>
          <w:divBdr>
            <w:top w:val="none" w:sz="0" w:space="0" w:color="auto"/>
            <w:left w:val="none" w:sz="0" w:space="0" w:color="auto"/>
            <w:bottom w:val="none" w:sz="0" w:space="0" w:color="auto"/>
            <w:right w:val="none" w:sz="0" w:space="0" w:color="auto"/>
          </w:divBdr>
          <w:divsChild>
            <w:div w:id="2034190067">
              <w:marLeft w:val="0"/>
              <w:marRight w:val="0"/>
              <w:marTop w:val="0"/>
              <w:marBottom w:val="240"/>
              <w:divBdr>
                <w:top w:val="none" w:sz="0" w:space="0" w:color="auto"/>
                <w:left w:val="none" w:sz="0" w:space="0" w:color="auto"/>
                <w:bottom w:val="none" w:sz="0" w:space="0" w:color="auto"/>
                <w:right w:val="none" w:sz="0" w:space="0" w:color="auto"/>
              </w:divBdr>
            </w:div>
            <w:div w:id="1682858872">
              <w:marLeft w:val="0"/>
              <w:marRight w:val="0"/>
              <w:marTop w:val="0"/>
              <w:marBottom w:val="240"/>
              <w:divBdr>
                <w:top w:val="none" w:sz="0" w:space="0" w:color="auto"/>
                <w:left w:val="none" w:sz="0" w:space="0" w:color="auto"/>
                <w:bottom w:val="none" w:sz="0" w:space="0" w:color="auto"/>
                <w:right w:val="none" w:sz="0" w:space="0" w:color="auto"/>
              </w:divBdr>
            </w:div>
            <w:div w:id="697238883">
              <w:marLeft w:val="0"/>
              <w:marRight w:val="0"/>
              <w:marTop w:val="0"/>
              <w:marBottom w:val="240"/>
              <w:divBdr>
                <w:top w:val="none" w:sz="0" w:space="0" w:color="auto"/>
                <w:left w:val="none" w:sz="0" w:space="0" w:color="auto"/>
                <w:bottom w:val="none" w:sz="0" w:space="0" w:color="auto"/>
                <w:right w:val="none" w:sz="0" w:space="0" w:color="auto"/>
              </w:divBdr>
            </w:div>
            <w:div w:id="688064857">
              <w:marLeft w:val="0"/>
              <w:marRight w:val="0"/>
              <w:marTop w:val="0"/>
              <w:marBottom w:val="240"/>
              <w:divBdr>
                <w:top w:val="none" w:sz="0" w:space="0" w:color="auto"/>
                <w:left w:val="none" w:sz="0" w:space="0" w:color="auto"/>
                <w:bottom w:val="none" w:sz="0" w:space="0" w:color="auto"/>
                <w:right w:val="none" w:sz="0" w:space="0" w:color="auto"/>
              </w:divBdr>
            </w:div>
            <w:div w:id="403842298">
              <w:marLeft w:val="0"/>
              <w:marRight w:val="0"/>
              <w:marTop w:val="0"/>
              <w:marBottom w:val="240"/>
              <w:divBdr>
                <w:top w:val="none" w:sz="0" w:space="0" w:color="auto"/>
                <w:left w:val="none" w:sz="0" w:space="0" w:color="auto"/>
                <w:bottom w:val="none" w:sz="0" w:space="0" w:color="auto"/>
                <w:right w:val="none" w:sz="0" w:space="0" w:color="auto"/>
              </w:divBdr>
            </w:div>
            <w:div w:id="7475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9596">
      <w:bodyDiv w:val="1"/>
      <w:marLeft w:val="0"/>
      <w:marRight w:val="0"/>
      <w:marTop w:val="0"/>
      <w:marBottom w:val="0"/>
      <w:divBdr>
        <w:top w:val="none" w:sz="0" w:space="0" w:color="auto"/>
        <w:left w:val="none" w:sz="0" w:space="0" w:color="auto"/>
        <w:bottom w:val="none" w:sz="0" w:space="0" w:color="auto"/>
        <w:right w:val="none" w:sz="0" w:space="0" w:color="auto"/>
      </w:divBdr>
      <w:divsChild>
        <w:div w:id="1618636299">
          <w:marLeft w:val="0"/>
          <w:marRight w:val="0"/>
          <w:marTop w:val="0"/>
          <w:marBottom w:val="0"/>
          <w:divBdr>
            <w:top w:val="none" w:sz="0" w:space="0" w:color="auto"/>
            <w:left w:val="none" w:sz="0" w:space="0" w:color="auto"/>
            <w:bottom w:val="none" w:sz="0" w:space="0" w:color="auto"/>
            <w:right w:val="none" w:sz="0" w:space="0" w:color="auto"/>
          </w:divBdr>
        </w:div>
      </w:divsChild>
    </w:div>
    <w:div w:id="1250697501">
      <w:bodyDiv w:val="1"/>
      <w:marLeft w:val="0"/>
      <w:marRight w:val="0"/>
      <w:marTop w:val="0"/>
      <w:marBottom w:val="0"/>
      <w:divBdr>
        <w:top w:val="none" w:sz="0" w:space="0" w:color="auto"/>
        <w:left w:val="none" w:sz="0" w:space="0" w:color="auto"/>
        <w:bottom w:val="none" w:sz="0" w:space="0" w:color="auto"/>
        <w:right w:val="none" w:sz="0" w:space="0" w:color="auto"/>
      </w:divBdr>
      <w:divsChild>
        <w:div w:id="1915044020">
          <w:marLeft w:val="480"/>
          <w:marRight w:val="0"/>
          <w:marTop w:val="0"/>
          <w:marBottom w:val="0"/>
          <w:divBdr>
            <w:top w:val="none" w:sz="0" w:space="0" w:color="auto"/>
            <w:left w:val="none" w:sz="0" w:space="0" w:color="auto"/>
            <w:bottom w:val="none" w:sz="0" w:space="0" w:color="auto"/>
            <w:right w:val="none" w:sz="0" w:space="0" w:color="auto"/>
          </w:divBdr>
          <w:divsChild>
            <w:div w:id="1137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8797">
      <w:bodyDiv w:val="1"/>
      <w:marLeft w:val="0"/>
      <w:marRight w:val="0"/>
      <w:marTop w:val="0"/>
      <w:marBottom w:val="0"/>
      <w:divBdr>
        <w:top w:val="none" w:sz="0" w:space="0" w:color="auto"/>
        <w:left w:val="none" w:sz="0" w:space="0" w:color="auto"/>
        <w:bottom w:val="none" w:sz="0" w:space="0" w:color="auto"/>
        <w:right w:val="none" w:sz="0" w:space="0" w:color="auto"/>
      </w:divBdr>
    </w:div>
    <w:div w:id="1291206530">
      <w:bodyDiv w:val="1"/>
      <w:marLeft w:val="0"/>
      <w:marRight w:val="0"/>
      <w:marTop w:val="0"/>
      <w:marBottom w:val="0"/>
      <w:divBdr>
        <w:top w:val="none" w:sz="0" w:space="0" w:color="auto"/>
        <w:left w:val="none" w:sz="0" w:space="0" w:color="auto"/>
        <w:bottom w:val="none" w:sz="0" w:space="0" w:color="auto"/>
        <w:right w:val="none" w:sz="0" w:space="0" w:color="auto"/>
      </w:divBdr>
    </w:div>
    <w:div w:id="1312251134">
      <w:bodyDiv w:val="1"/>
      <w:marLeft w:val="0"/>
      <w:marRight w:val="0"/>
      <w:marTop w:val="0"/>
      <w:marBottom w:val="0"/>
      <w:divBdr>
        <w:top w:val="none" w:sz="0" w:space="0" w:color="auto"/>
        <w:left w:val="none" w:sz="0" w:space="0" w:color="auto"/>
        <w:bottom w:val="none" w:sz="0" w:space="0" w:color="auto"/>
        <w:right w:val="none" w:sz="0" w:space="0" w:color="auto"/>
      </w:divBdr>
      <w:divsChild>
        <w:div w:id="1270970725">
          <w:marLeft w:val="0"/>
          <w:marRight w:val="0"/>
          <w:marTop w:val="0"/>
          <w:marBottom w:val="0"/>
          <w:divBdr>
            <w:top w:val="none" w:sz="0" w:space="0" w:color="auto"/>
            <w:left w:val="none" w:sz="0" w:space="0" w:color="auto"/>
            <w:bottom w:val="none" w:sz="0" w:space="0" w:color="auto"/>
            <w:right w:val="none" w:sz="0" w:space="0" w:color="auto"/>
          </w:divBdr>
          <w:divsChild>
            <w:div w:id="1561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7106">
      <w:bodyDiv w:val="1"/>
      <w:marLeft w:val="0"/>
      <w:marRight w:val="0"/>
      <w:marTop w:val="0"/>
      <w:marBottom w:val="0"/>
      <w:divBdr>
        <w:top w:val="none" w:sz="0" w:space="0" w:color="auto"/>
        <w:left w:val="none" w:sz="0" w:space="0" w:color="auto"/>
        <w:bottom w:val="none" w:sz="0" w:space="0" w:color="auto"/>
        <w:right w:val="none" w:sz="0" w:space="0" w:color="auto"/>
      </w:divBdr>
      <w:divsChild>
        <w:div w:id="809442104">
          <w:marLeft w:val="0"/>
          <w:marRight w:val="0"/>
          <w:marTop w:val="0"/>
          <w:marBottom w:val="0"/>
          <w:divBdr>
            <w:top w:val="none" w:sz="0" w:space="0" w:color="auto"/>
            <w:left w:val="none" w:sz="0" w:space="0" w:color="auto"/>
            <w:bottom w:val="none" w:sz="0" w:space="0" w:color="auto"/>
            <w:right w:val="none" w:sz="0" w:space="0" w:color="auto"/>
          </w:divBdr>
        </w:div>
      </w:divsChild>
    </w:div>
    <w:div w:id="1364205365">
      <w:bodyDiv w:val="1"/>
      <w:marLeft w:val="0"/>
      <w:marRight w:val="0"/>
      <w:marTop w:val="0"/>
      <w:marBottom w:val="0"/>
      <w:divBdr>
        <w:top w:val="none" w:sz="0" w:space="0" w:color="auto"/>
        <w:left w:val="none" w:sz="0" w:space="0" w:color="auto"/>
        <w:bottom w:val="none" w:sz="0" w:space="0" w:color="auto"/>
        <w:right w:val="none" w:sz="0" w:space="0" w:color="auto"/>
      </w:divBdr>
      <w:divsChild>
        <w:div w:id="1168638011">
          <w:marLeft w:val="0"/>
          <w:marRight w:val="0"/>
          <w:marTop w:val="0"/>
          <w:marBottom w:val="0"/>
          <w:divBdr>
            <w:top w:val="none" w:sz="0" w:space="0" w:color="auto"/>
            <w:left w:val="none" w:sz="0" w:space="0" w:color="auto"/>
            <w:bottom w:val="none" w:sz="0" w:space="0" w:color="auto"/>
            <w:right w:val="none" w:sz="0" w:space="0" w:color="auto"/>
          </w:divBdr>
          <w:divsChild>
            <w:div w:id="1689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8038">
      <w:bodyDiv w:val="1"/>
      <w:marLeft w:val="0"/>
      <w:marRight w:val="0"/>
      <w:marTop w:val="0"/>
      <w:marBottom w:val="0"/>
      <w:divBdr>
        <w:top w:val="none" w:sz="0" w:space="0" w:color="auto"/>
        <w:left w:val="none" w:sz="0" w:space="0" w:color="auto"/>
        <w:bottom w:val="none" w:sz="0" w:space="0" w:color="auto"/>
        <w:right w:val="none" w:sz="0" w:space="0" w:color="auto"/>
      </w:divBdr>
      <w:divsChild>
        <w:div w:id="1454136969">
          <w:marLeft w:val="480"/>
          <w:marRight w:val="0"/>
          <w:marTop w:val="0"/>
          <w:marBottom w:val="0"/>
          <w:divBdr>
            <w:top w:val="none" w:sz="0" w:space="0" w:color="auto"/>
            <w:left w:val="none" w:sz="0" w:space="0" w:color="auto"/>
            <w:bottom w:val="none" w:sz="0" w:space="0" w:color="auto"/>
            <w:right w:val="none" w:sz="0" w:space="0" w:color="auto"/>
          </w:divBdr>
          <w:divsChild>
            <w:div w:id="1569456605">
              <w:marLeft w:val="0"/>
              <w:marRight w:val="0"/>
              <w:marTop w:val="0"/>
              <w:marBottom w:val="240"/>
              <w:divBdr>
                <w:top w:val="none" w:sz="0" w:space="0" w:color="auto"/>
                <w:left w:val="none" w:sz="0" w:space="0" w:color="auto"/>
                <w:bottom w:val="none" w:sz="0" w:space="0" w:color="auto"/>
                <w:right w:val="none" w:sz="0" w:space="0" w:color="auto"/>
              </w:divBdr>
            </w:div>
            <w:div w:id="1971278973">
              <w:marLeft w:val="0"/>
              <w:marRight w:val="0"/>
              <w:marTop w:val="0"/>
              <w:marBottom w:val="240"/>
              <w:divBdr>
                <w:top w:val="none" w:sz="0" w:space="0" w:color="auto"/>
                <w:left w:val="none" w:sz="0" w:space="0" w:color="auto"/>
                <w:bottom w:val="none" w:sz="0" w:space="0" w:color="auto"/>
                <w:right w:val="none" w:sz="0" w:space="0" w:color="auto"/>
              </w:divBdr>
            </w:div>
            <w:div w:id="1763719960">
              <w:marLeft w:val="0"/>
              <w:marRight w:val="0"/>
              <w:marTop w:val="0"/>
              <w:marBottom w:val="240"/>
              <w:divBdr>
                <w:top w:val="none" w:sz="0" w:space="0" w:color="auto"/>
                <w:left w:val="none" w:sz="0" w:space="0" w:color="auto"/>
                <w:bottom w:val="none" w:sz="0" w:space="0" w:color="auto"/>
                <w:right w:val="none" w:sz="0" w:space="0" w:color="auto"/>
              </w:divBdr>
            </w:div>
            <w:div w:id="482352180">
              <w:marLeft w:val="0"/>
              <w:marRight w:val="0"/>
              <w:marTop w:val="0"/>
              <w:marBottom w:val="240"/>
              <w:divBdr>
                <w:top w:val="none" w:sz="0" w:space="0" w:color="auto"/>
                <w:left w:val="none" w:sz="0" w:space="0" w:color="auto"/>
                <w:bottom w:val="none" w:sz="0" w:space="0" w:color="auto"/>
                <w:right w:val="none" w:sz="0" w:space="0" w:color="auto"/>
              </w:divBdr>
            </w:div>
            <w:div w:id="415981219">
              <w:marLeft w:val="0"/>
              <w:marRight w:val="0"/>
              <w:marTop w:val="0"/>
              <w:marBottom w:val="240"/>
              <w:divBdr>
                <w:top w:val="none" w:sz="0" w:space="0" w:color="auto"/>
                <w:left w:val="none" w:sz="0" w:space="0" w:color="auto"/>
                <w:bottom w:val="none" w:sz="0" w:space="0" w:color="auto"/>
                <w:right w:val="none" w:sz="0" w:space="0" w:color="auto"/>
              </w:divBdr>
            </w:div>
            <w:div w:id="798453541">
              <w:marLeft w:val="0"/>
              <w:marRight w:val="0"/>
              <w:marTop w:val="0"/>
              <w:marBottom w:val="240"/>
              <w:divBdr>
                <w:top w:val="none" w:sz="0" w:space="0" w:color="auto"/>
                <w:left w:val="none" w:sz="0" w:space="0" w:color="auto"/>
                <w:bottom w:val="none" w:sz="0" w:space="0" w:color="auto"/>
                <w:right w:val="none" w:sz="0" w:space="0" w:color="auto"/>
              </w:divBdr>
            </w:div>
            <w:div w:id="2070419928">
              <w:marLeft w:val="0"/>
              <w:marRight w:val="0"/>
              <w:marTop w:val="0"/>
              <w:marBottom w:val="240"/>
              <w:divBdr>
                <w:top w:val="none" w:sz="0" w:space="0" w:color="auto"/>
                <w:left w:val="none" w:sz="0" w:space="0" w:color="auto"/>
                <w:bottom w:val="none" w:sz="0" w:space="0" w:color="auto"/>
                <w:right w:val="none" w:sz="0" w:space="0" w:color="auto"/>
              </w:divBdr>
            </w:div>
            <w:div w:id="253520296">
              <w:marLeft w:val="0"/>
              <w:marRight w:val="0"/>
              <w:marTop w:val="0"/>
              <w:marBottom w:val="240"/>
              <w:divBdr>
                <w:top w:val="none" w:sz="0" w:space="0" w:color="auto"/>
                <w:left w:val="none" w:sz="0" w:space="0" w:color="auto"/>
                <w:bottom w:val="none" w:sz="0" w:space="0" w:color="auto"/>
                <w:right w:val="none" w:sz="0" w:space="0" w:color="auto"/>
              </w:divBdr>
            </w:div>
            <w:div w:id="1748576804">
              <w:marLeft w:val="0"/>
              <w:marRight w:val="0"/>
              <w:marTop w:val="0"/>
              <w:marBottom w:val="240"/>
              <w:divBdr>
                <w:top w:val="none" w:sz="0" w:space="0" w:color="auto"/>
                <w:left w:val="none" w:sz="0" w:space="0" w:color="auto"/>
                <w:bottom w:val="none" w:sz="0" w:space="0" w:color="auto"/>
                <w:right w:val="none" w:sz="0" w:space="0" w:color="auto"/>
              </w:divBdr>
            </w:div>
            <w:div w:id="809788973">
              <w:marLeft w:val="0"/>
              <w:marRight w:val="0"/>
              <w:marTop w:val="0"/>
              <w:marBottom w:val="240"/>
              <w:divBdr>
                <w:top w:val="none" w:sz="0" w:space="0" w:color="auto"/>
                <w:left w:val="none" w:sz="0" w:space="0" w:color="auto"/>
                <w:bottom w:val="none" w:sz="0" w:space="0" w:color="auto"/>
                <w:right w:val="none" w:sz="0" w:space="0" w:color="auto"/>
              </w:divBdr>
            </w:div>
            <w:div w:id="1690180063">
              <w:marLeft w:val="0"/>
              <w:marRight w:val="0"/>
              <w:marTop w:val="0"/>
              <w:marBottom w:val="240"/>
              <w:divBdr>
                <w:top w:val="none" w:sz="0" w:space="0" w:color="auto"/>
                <w:left w:val="none" w:sz="0" w:space="0" w:color="auto"/>
                <w:bottom w:val="none" w:sz="0" w:space="0" w:color="auto"/>
                <w:right w:val="none" w:sz="0" w:space="0" w:color="auto"/>
              </w:divBdr>
            </w:div>
            <w:div w:id="485711360">
              <w:marLeft w:val="0"/>
              <w:marRight w:val="0"/>
              <w:marTop w:val="0"/>
              <w:marBottom w:val="240"/>
              <w:divBdr>
                <w:top w:val="none" w:sz="0" w:space="0" w:color="auto"/>
                <w:left w:val="none" w:sz="0" w:space="0" w:color="auto"/>
                <w:bottom w:val="none" w:sz="0" w:space="0" w:color="auto"/>
                <w:right w:val="none" w:sz="0" w:space="0" w:color="auto"/>
              </w:divBdr>
            </w:div>
            <w:div w:id="1540048832">
              <w:marLeft w:val="0"/>
              <w:marRight w:val="0"/>
              <w:marTop w:val="0"/>
              <w:marBottom w:val="240"/>
              <w:divBdr>
                <w:top w:val="none" w:sz="0" w:space="0" w:color="auto"/>
                <w:left w:val="none" w:sz="0" w:space="0" w:color="auto"/>
                <w:bottom w:val="none" w:sz="0" w:space="0" w:color="auto"/>
                <w:right w:val="none" w:sz="0" w:space="0" w:color="auto"/>
              </w:divBdr>
            </w:div>
            <w:div w:id="542720095">
              <w:marLeft w:val="0"/>
              <w:marRight w:val="0"/>
              <w:marTop w:val="0"/>
              <w:marBottom w:val="240"/>
              <w:divBdr>
                <w:top w:val="none" w:sz="0" w:space="0" w:color="auto"/>
                <w:left w:val="none" w:sz="0" w:space="0" w:color="auto"/>
                <w:bottom w:val="none" w:sz="0" w:space="0" w:color="auto"/>
                <w:right w:val="none" w:sz="0" w:space="0" w:color="auto"/>
              </w:divBdr>
            </w:div>
            <w:div w:id="631521407">
              <w:marLeft w:val="0"/>
              <w:marRight w:val="0"/>
              <w:marTop w:val="0"/>
              <w:marBottom w:val="240"/>
              <w:divBdr>
                <w:top w:val="none" w:sz="0" w:space="0" w:color="auto"/>
                <w:left w:val="none" w:sz="0" w:space="0" w:color="auto"/>
                <w:bottom w:val="none" w:sz="0" w:space="0" w:color="auto"/>
                <w:right w:val="none" w:sz="0" w:space="0" w:color="auto"/>
              </w:divBdr>
            </w:div>
            <w:div w:id="1436903609">
              <w:marLeft w:val="0"/>
              <w:marRight w:val="0"/>
              <w:marTop w:val="0"/>
              <w:marBottom w:val="240"/>
              <w:divBdr>
                <w:top w:val="none" w:sz="0" w:space="0" w:color="auto"/>
                <w:left w:val="none" w:sz="0" w:space="0" w:color="auto"/>
                <w:bottom w:val="none" w:sz="0" w:space="0" w:color="auto"/>
                <w:right w:val="none" w:sz="0" w:space="0" w:color="auto"/>
              </w:divBdr>
            </w:div>
            <w:div w:id="542442386">
              <w:marLeft w:val="0"/>
              <w:marRight w:val="0"/>
              <w:marTop w:val="0"/>
              <w:marBottom w:val="240"/>
              <w:divBdr>
                <w:top w:val="none" w:sz="0" w:space="0" w:color="auto"/>
                <w:left w:val="none" w:sz="0" w:space="0" w:color="auto"/>
                <w:bottom w:val="none" w:sz="0" w:space="0" w:color="auto"/>
                <w:right w:val="none" w:sz="0" w:space="0" w:color="auto"/>
              </w:divBdr>
            </w:div>
            <w:div w:id="2066175476">
              <w:marLeft w:val="0"/>
              <w:marRight w:val="0"/>
              <w:marTop w:val="0"/>
              <w:marBottom w:val="240"/>
              <w:divBdr>
                <w:top w:val="none" w:sz="0" w:space="0" w:color="auto"/>
                <w:left w:val="none" w:sz="0" w:space="0" w:color="auto"/>
                <w:bottom w:val="none" w:sz="0" w:space="0" w:color="auto"/>
                <w:right w:val="none" w:sz="0" w:space="0" w:color="auto"/>
              </w:divBdr>
            </w:div>
            <w:div w:id="492570275">
              <w:marLeft w:val="0"/>
              <w:marRight w:val="0"/>
              <w:marTop w:val="0"/>
              <w:marBottom w:val="240"/>
              <w:divBdr>
                <w:top w:val="none" w:sz="0" w:space="0" w:color="auto"/>
                <w:left w:val="none" w:sz="0" w:space="0" w:color="auto"/>
                <w:bottom w:val="none" w:sz="0" w:space="0" w:color="auto"/>
                <w:right w:val="none" w:sz="0" w:space="0" w:color="auto"/>
              </w:divBdr>
            </w:div>
            <w:div w:id="690765070">
              <w:marLeft w:val="0"/>
              <w:marRight w:val="0"/>
              <w:marTop w:val="0"/>
              <w:marBottom w:val="240"/>
              <w:divBdr>
                <w:top w:val="none" w:sz="0" w:space="0" w:color="auto"/>
                <w:left w:val="none" w:sz="0" w:space="0" w:color="auto"/>
                <w:bottom w:val="none" w:sz="0" w:space="0" w:color="auto"/>
                <w:right w:val="none" w:sz="0" w:space="0" w:color="auto"/>
              </w:divBdr>
            </w:div>
            <w:div w:id="17128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9247">
      <w:bodyDiv w:val="1"/>
      <w:marLeft w:val="0"/>
      <w:marRight w:val="0"/>
      <w:marTop w:val="0"/>
      <w:marBottom w:val="0"/>
      <w:divBdr>
        <w:top w:val="none" w:sz="0" w:space="0" w:color="auto"/>
        <w:left w:val="none" w:sz="0" w:space="0" w:color="auto"/>
        <w:bottom w:val="none" w:sz="0" w:space="0" w:color="auto"/>
        <w:right w:val="none" w:sz="0" w:space="0" w:color="auto"/>
      </w:divBdr>
      <w:divsChild>
        <w:div w:id="752357252">
          <w:marLeft w:val="48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240"/>
              <w:divBdr>
                <w:top w:val="none" w:sz="0" w:space="0" w:color="auto"/>
                <w:left w:val="none" w:sz="0" w:space="0" w:color="auto"/>
                <w:bottom w:val="none" w:sz="0" w:space="0" w:color="auto"/>
                <w:right w:val="none" w:sz="0" w:space="0" w:color="auto"/>
              </w:divBdr>
            </w:div>
            <w:div w:id="373503081">
              <w:marLeft w:val="0"/>
              <w:marRight w:val="0"/>
              <w:marTop w:val="0"/>
              <w:marBottom w:val="240"/>
              <w:divBdr>
                <w:top w:val="none" w:sz="0" w:space="0" w:color="auto"/>
                <w:left w:val="none" w:sz="0" w:space="0" w:color="auto"/>
                <w:bottom w:val="none" w:sz="0" w:space="0" w:color="auto"/>
                <w:right w:val="none" w:sz="0" w:space="0" w:color="auto"/>
              </w:divBdr>
            </w:div>
            <w:div w:id="649289108">
              <w:marLeft w:val="0"/>
              <w:marRight w:val="0"/>
              <w:marTop w:val="0"/>
              <w:marBottom w:val="240"/>
              <w:divBdr>
                <w:top w:val="none" w:sz="0" w:space="0" w:color="auto"/>
                <w:left w:val="none" w:sz="0" w:space="0" w:color="auto"/>
                <w:bottom w:val="none" w:sz="0" w:space="0" w:color="auto"/>
                <w:right w:val="none" w:sz="0" w:space="0" w:color="auto"/>
              </w:divBdr>
            </w:div>
            <w:div w:id="638728930">
              <w:marLeft w:val="0"/>
              <w:marRight w:val="0"/>
              <w:marTop w:val="0"/>
              <w:marBottom w:val="240"/>
              <w:divBdr>
                <w:top w:val="none" w:sz="0" w:space="0" w:color="auto"/>
                <w:left w:val="none" w:sz="0" w:space="0" w:color="auto"/>
                <w:bottom w:val="none" w:sz="0" w:space="0" w:color="auto"/>
                <w:right w:val="none" w:sz="0" w:space="0" w:color="auto"/>
              </w:divBdr>
            </w:div>
            <w:div w:id="54672675">
              <w:marLeft w:val="0"/>
              <w:marRight w:val="0"/>
              <w:marTop w:val="0"/>
              <w:marBottom w:val="240"/>
              <w:divBdr>
                <w:top w:val="none" w:sz="0" w:space="0" w:color="auto"/>
                <w:left w:val="none" w:sz="0" w:space="0" w:color="auto"/>
                <w:bottom w:val="none" w:sz="0" w:space="0" w:color="auto"/>
                <w:right w:val="none" w:sz="0" w:space="0" w:color="auto"/>
              </w:divBdr>
            </w:div>
            <w:div w:id="2010325594">
              <w:marLeft w:val="0"/>
              <w:marRight w:val="0"/>
              <w:marTop w:val="0"/>
              <w:marBottom w:val="240"/>
              <w:divBdr>
                <w:top w:val="none" w:sz="0" w:space="0" w:color="auto"/>
                <w:left w:val="none" w:sz="0" w:space="0" w:color="auto"/>
                <w:bottom w:val="none" w:sz="0" w:space="0" w:color="auto"/>
                <w:right w:val="none" w:sz="0" w:space="0" w:color="auto"/>
              </w:divBdr>
            </w:div>
            <w:div w:id="1610240148">
              <w:marLeft w:val="0"/>
              <w:marRight w:val="0"/>
              <w:marTop w:val="0"/>
              <w:marBottom w:val="240"/>
              <w:divBdr>
                <w:top w:val="none" w:sz="0" w:space="0" w:color="auto"/>
                <w:left w:val="none" w:sz="0" w:space="0" w:color="auto"/>
                <w:bottom w:val="none" w:sz="0" w:space="0" w:color="auto"/>
                <w:right w:val="none" w:sz="0" w:space="0" w:color="auto"/>
              </w:divBdr>
            </w:div>
            <w:div w:id="1798452361">
              <w:marLeft w:val="0"/>
              <w:marRight w:val="0"/>
              <w:marTop w:val="0"/>
              <w:marBottom w:val="240"/>
              <w:divBdr>
                <w:top w:val="none" w:sz="0" w:space="0" w:color="auto"/>
                <w:left w:val="none" w:sz="0" w:space="0" w:color="auto"/>
                <w:bottom w:val="none" w:sz="0" w:space="0" w:color="auto"/>
                <w:right w:val="none" w:sz="0" w:space="0" w:color="auto"/>
              </w:divBdr>
            </w:div>
            <w:div w:id="12150075">
              <w:marLeft w:val="0"/>
              <w:marRight w:val="0"/>
              <w:marTop w:val="0"/>
              <w:marBottom w:val="240"/>
              <w:divBdr>
                <w:top w:val="none" w:sz="0" w:space="0" w:color="auto"/>
                <w:left w:val="none" w:sz="0" w:space="0" w:color="auto"/>
                <w:bottom w:val="none" w:sz="0" w:space="0" w:color="auto"/>
                <w:right w:val="none" w:sz="0" w:space="0" w:color="auto"/>
              </w:divBdr>
            </w:div>
            <w:div w:id="999387888">
              <w:marLeft w:val="0"/>
              <w:marRight w:val="0"/>
              <w:marTop w:val="0"/>
              <w:marBottom w:val="240"/>
              <w:divBdr>
                <w:top w:val="none" w:sz="0" w:space="0" w:color="auto"/>
                <w:left w:val="none" w:sz="0" w:space="0" w:color="auto"/>
                <w:bottom w:val="none" w:sz="0" w:space="0" w:color="auto"/>
                <w:right w:val="none" w:sz="0" w:space="0" w:color="auto"/>
              </w:divBdr>
            </w:div>
            <w:div w:id="2127698789">
              <w:marLeft w:val="0"/>
              <w:marRight w:val="0"/>
              <w:marTop w:val="0"/>
              <w:marBottom w:val="240"/>
              <w:divBdr>
                <w:top w:val="none" w:sz="0" w:space="0" w:color="auto"/>
                <w:left w:val="none" w:sz="0" w:space="0" w:color="auto"/>
                <w:bottom w:val="none" w:sz="0" w:space="0" w:color="auto"/>
                <w:right w:val="none" w:sz="0" w:space="0" w:color="auto"/>
              </w:divBdr>
            </w:div>
            <w:div w:id="299456638">
              <w:marLeft w:val="0"/>
              <w:marRight w:val="0"/>
              <w:marTop w:val="0"/>
              <w:marBottom w:val="240"/>
              <w:divBdr>
                <w:top w:val="none" w:sz="0" w:space="0" w:color="auto"/>
                <w:left w:val="none" w:sz="0" w:space="0" w:color="auto"/>
                <w:bottom w:val="none" w:sz="0" w:space="0" w:color="auto"/>
                <w:right w:val="none" w:sz="0" w:space="0" w:color="auto"/>
              </w:divBdr>
            </w:div>
            <w:div w:id="2098088840">
              <w:marLeft w:val="0"/>
              <w:marRight w:val="0"/>
              <w:marTop w:val="0"/>
              <w:marBottom w:val="240"/>
              <w:divBdr>
                <w:top w:val="none" w:sz="0" w:space="0" w:color="auto"/>
                <w:left w:val="none" w:sz="0" w:space="0" w:color="auto"/>
                <w:bottom w:val="none" w:sz="0" w:space="0" w:color="auto"/>
                <w:right w:val="none" w:sz="0" w:space="0" w:color="auto"/>
              </w:divBdr>
            </w:div>
            <w:div w:id="742263023">
              <w:marLeft w:val="0"/>
              <w:marRight w:val="0"/>
              <w:marTop w:val="0"/>
              <w:marBottom w:val="240"/>
              <w:divBdr>
                <w:top w:val="none" w:sz="0" w:space="0" w:color="auto"/>
                <w:left w:val="none" w:sz="0" w:space="0" w:color="auto"/>
                <w:bottom w:val="none" w:sz="0" w:space="0" w:color="auto"/>
                <w:right w:val="none" w:sz="0" w:space="0" w:color="auto"/>
              </w:divBdr>
            </w:div>
            <w:div w:id="824012180">
              <w:marLeft w:val="0"/>
              <w:marRight w:val="0"/>
              <w:marTop w:val="0"/>
              <w:marBottom w:val="240"/>
              <w:divBdr>
                <w:top w:val="none" w:sz="0" w:space="0" w:color="auto"/>
                <w:left w:val="none" w:sz="0" w:space="0" w:color="auto"/>
                <w:bottom w:val="none" w:sz="0" w:space="0" w:color="auto"/>
                <w:right w:val="none" w:sz="0" w:space="0" w:color="auto"/>
              </w:divBdr>
            </w:div>
            <w:div w:id="1944072999">
              <w:marLeft w:val="0"/>
              <w:marRight w:val="0"/>
              <w:marTop w:val="0"/>
              <w:marBottom w:val="240"/>
              <w:divBdr>
                <w:top w:val="none" w:sz="0" w:space="0" w:color="auto"/>
                <w:left w:val="none" w:sz="0" w:space="0" w:color="auto"/>
                <w:bottom w:val="none" w:sz="0" w:space="0" w:color="auto"/>
                <w:right w:val="none" w:sz="0" w:space="0" w:color="auto"/>
              </w:divBdr>
            </w:div>
            <w:div w:id="1709181232">
              <w:marLeft w:val="0"/>
              <w:marRight w:val="0"/>
              <w:marTop w:val="0"/>
              <w:marBottom w:val="240"/>
              <w:divBdr>
                <w:top w:val="none" w:sz="0" w:space="0" w:color="auto"/>
                <w:left w:val="none" w:sz="0" w:space="0" w:color="auto"/>
                <w:bottom w:val="none" w:sz="0" w:space="0" w:color="auto"/>
                <w:right w:val="none" w:sz="0" w:space="0" w:color="auto"/>
              </w:divBdr>
            </w:div>
            <w:div w:id="53744188">
              <w:marLeft w:val="0"/>
              <w:marRight w:val="0"/>
              <w:marTop w:val="0"/>
              <w:marBottom w:val="240"/>
              <w:divBdr>
                <w:top w:val="none" w:sz="0" w:space="0" w:color="auto"/>
                <w:left w:val="none" w:sz="0" w:space="0" w:color="auto"/>
                <w:bottom w:val="none" w:sz="0" w:space="0" w:color="auto"/>
                <w:right w:val="none" w:sz="0" w:space="0" w:color="auto"/>
              </w:divBdr>
            </w:div>
            <w:div w:id="179051886">
              <w:marLeft w:val="0"/>
              <w:marRight w:val="0"/>
              <w:marTop w:val="0"/>
              <w:marBottom w:val="240"/>
              <w:divBdr>
                <w:top w:val="none" w:sz="0" w:space="0" w:color="auto"/>
                <w:left w:val="none" w:sz="0" w:space="0" w:color="auto"/>
                <w:bottom w:val="none" w:sz="0" w:space="0" w:color="auto"/>
                <w:right w:val="none" w:sz="0" w:space="0" w:color="auto"/>
              </w:divBdr>
            </w:div>
            <w:div w:id="680425542">
              <w:marLeft w:val="0"/>
              <w:marRight w:val="0"/>
              <w:marTop w:val="0"/>
              <w:marBottom w:val="240"/>
              <w:divBdr>
                <w:top w:val="none" w:sz="0" w:space="0" w:color="auto"/>
                <w:left w:val="none" w:sz="0" w:space="0" w:color="auto"/>
                <w:bottom w:val="none" w:sz="0" w:space="0" w:color="auto"/>
                <w:right w:val="none" w:sz="0" w:space="0" w:color="auto"/>
              </w:divBdr>
            </w:div>
            <w:div w:id="12139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806">
      <w:bodyDiv w:val="1"/>
      <w:marLeft w:val="0"/>
      <w:marRight w:val="0"/>
      <w:marTop w:val="0"/>
      <w:marBottom w:val="0"/>
      <w:divBdr>
        <w:top w:val="none" w:sz="0" w:space="0" w:color="auto"/>
        <w:left w:val="none" w:sz="0" w:space="0" w:color="auto"/>
        <w:bottom w:val="none" w:sz="0" w:space="0" w:color="auto"/>
        <w:right w:val="none" w:sz="0" w:space="0" w:color="auto"/>
      </w:divBdr>
      <w:divsChild>
        <w:div w:id="684289911">
          <w:marLeft w:val="480"/>
          <w:marRight w:val="0"/>
          <w:marTop w:val="0"/>
          <w:marBottom w:val="0"/>
          <w:divBdr>
            <w:top w:val="none" w:sz="0" w:space="0" w:color="auto"/>
            <w:left w:val="none" w:sz="0" w:space="0" w:color="auto"/>
            <w:bottom w:val="none" w:sz="0" w:space="0" w:color="auto"/>
            <w:right w:val="none" w:sz="0" w:space="0" w:color="auto"/>
          </w:divBdr>
          <w:divsChild>
            <w:div w:id="15203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8560">
      <w:bodyDiv w:val="1"/>
      <w:marLeft w:val="0"/>
      <w:marRight w:val="0"/>
      <w:marTop w:val="0"/>
      <w:marBottom w:val="0"/>
      <w:divBdr>
        <w:top w:val="none" w:sz="0" w:space="0" w:color="auto"/>
        <w:left w:val="none" w:sz="0" w:space="0" w:color="auto"/>
        <w:bottom w:val="none" w:sz="0" w:space="0" w:color="auto"/>
        <w:right w:val="none" w:sz="0" w:space="0" w:color="auto"/>
      </w:divBdr>
    </w:div>
    <w:div w:id="1569806936">
      <w:bodyDiv w:val="1"/>
      <w:marLeft w:val="0"/>
      <w:marRight w:val="0"/>
      <w:marTop w:val="0"/>
      <w:marBottom w:val="0"/>
      <w:divBdr>
        <w:top w:val="none" w:sz="0" w:space="0" w:color="auto"/>
        <w:left w:val="none" w:sz="0" w:space="0" w:color="auto"/>
        <w:bottom w:val="none" w:sz="0" w:space="0" w:color="auto"/>
        <w:right w:val="none" w:sz="0" w:space="0" w:color="auto"/>
      </w:divBdr>
    </w:div>
    <w:div w:id="1593197693">
      <w:bodyDiv w:val="1"/>
      <w:marLeft w:val="0"/>
      <w:marRight w:val="0"/>
      <w:marTop w:val="0"/>
      <w:marBottom w:val="0"/>
      <w:divBdr>
        <w:top w:val="none" w:sz="0" w:space="0" w:color="auto"/>
        <w:left w:val="none" w:sz="0" w:space="0" w:color="auto"/>
        <w:bottom w:val="none" w:sz="0" w:space="0" w:color="auto"/>
        <w:right w:val="none" w:sz="0" w:space="0" w:color="auto"/>
      </w:divBdr>
      <w:divsChild>
        <w:div w:id="1143228597">
          <w:marLeft w:val="480"/>
          <w:marRight w:val="0"/>
          <w:marTop w:val="0"/>
          <w:marBottom w:val="0"/>
          <w:divBdr>
            <w:top w:val="none" w:sz="0" w:space="0" w:color="auto"/>
            <w:left w:val="none" w:sz="0" w:space="0" w:color="auto"/>
            <w:bottom w:val="none" w:sz="0" w:space="0" w:color="auto"/>
            <w:right w:val="none" w:sz="0" w:space="0" w:color="auto"/>
          </w:divBdr>
          <w:divsChild>
            <w:div w:id="2000452133">
              <w:marLeft w:val="0"/>
              <w:marRight w:val="0"/>
              <w:marTop w:val="0"/>
              <w:marBottom w:val="240"/>
              <w:divBdr>
                <w:top w:val="none" w:sz="0" w:space="0" w:color="auto"/>
                <w:left w:val="none" w:sz="0" w:space="0" w:color="auto"/>
                <w:bottom w:val="none" w:sz="0" w:space="0" w:color="auto"/>
                <w:right w:val="none" w:sz="0" w:space="0" w:color="auto"/>
              </w:divBdr>
            </w:div>
            <w:div w:id="2017074277">
              <w:marLeft w:val="0"/>
              <w:marRight w:val="0"/>
              <w:marTop w:val="0"/>
              <w:marBottom w:val="240"/>
              <w:divBdr>
                <w:top w:val="none" w:sz="0" w:space="0" w:color="auto"/>
                <w:left w:val="none" w:sz="0" w:space="0" w:color="auto"/>
                <w:bottom w:val="none" w:sz="0" w:space="0" w:color="auto"/>
                <w:right w:val="none" w:sz="0" w:space="0" w:color="auto"/>
              </w:divBdr>
            </w:div>
            <w:div w:id="1419447840">
              <w:marLeft w:val="0"/>
              <w:marRight w:val="0"/>
              <w:marTop w:val="0"/>
              <w:marBottom w:val="240"/>
              <w:divBdr>
                <w:top w:val="none" w:sz="0" w:space="0" w:color="auto"/>
                <w:left w:val="none" w:sz="0" w:space="0" w:color="auto"/>
                <w:bottom w:val="none" w:sz="0" w:space="0" w:color="auto"/>
                <w:right w:val="none" w:sz="0" w:space="0" w:color="auto"/>
              </w:divBdr>
            </w:div>
            <w:div w:id="1833983626">
              <w:marLeft w:val="0"/>
              <w:marRight w:val="0"/>
              <w:marTop w:val="0"/>
              <w:marBottom w:val="240"/>
              <w:divBdr>
                <w:top w:val="none" w:sz="0" w:space="0" w:color="auto"/>
                <w:left w:val="none" w:sz="0" w:space="0" w:color="auto"/>
                <w:bottom w:val="none" w:sz="0" w:space="0" w:color="auto"/>
                <w:right w:val="none" w:sz="0" w:space="0" w:color="auto"/>
              </w:divBdr>
            </w:div>
            <w:div w:id="141772923">
              <w:marLeft w:val="0"/>
              <w:marRight w:val="0"/>
              <w:marTop w:val="0"/>
              <w:marBottom w:val="240"/>
              <w:divBdr>
                <w:top w:val="none" w:sz="0" w:space="0" w:color="auto"/>
                <w:left w:val="none" w:sz="0" w:space="0" w:color="auto"/>
                <w:bottom w:val="none" w:sz="0" w:space="0" w:color="auto"/>
                <w:right w:val="none" w:sz="0" w:space="0" w:color="auto"/>
              </w:divBdr>
            </w:div>
            <w:div w:id="796337668">
              <w:marLeft w:val="0"/>
              <w:marRight w:val="0"/>
              <w:marTop w:val="0"/>
              <w:marBottom w:val="240"/>
              <w:divBdr>
                <w:top w:val="none" w:sz="0" w:space="0" w:color="auto"/>
                <w:left w:val="none" w:sz="0" w:space="0" w:color="auto"/>
                <w:bottom w:val="none" w:sz="0" w:space="0" w:color="auto"/>
                <w:right w:val="none" w:sz="0" w:space="0" w:color="auto"/>
              </w:divBdr>
            </w:div>
            <w:div w:id="108552643">
              <w:marLeft w:val="0"/>
              <w:marRight w:val="0"/>
              <w:marTop w:val="0"/>
              <w:marBottom w:val="240"/>
              <w:divBdr>
                <w:top w:val="none" w:sz="0" w:space="0" w:color="auto"/>
                <w:left w:val="none" w:sz="0" w:space="0" w:color="auto"/>
                <w:bottom w:val="none" w:sz="0" w:space="0" w:color="auto"/>
                <w:right w:val="none" w:sz="0" w:space="0" w:color="auto"/>
              </w:divBdr>
            </w:div>
            <w:div w:id="552084404">
              <w:marLeft w:val="0"/>
              <w:marRight w:val="0"/>
              <w:marTop w:val="0"/>
              <w:marBottom w:val="240"/>
              <w:divBdr>
                <w:top w:val="none" w:sz="0" w:space="0" w:color="auto"/>
                <w:left w:val="none" w:sz="0" w:space="0" w:color="auto"/>
                <w:bottom w:val="none" w:sz="0" w:space="0" w:color="auto"/>
                <w:right w:val="none" w:sz="0" w:space="0" w:color="auto"/>
              </w:divBdr>
            </w:div>
            <w:div w:id="1359428282">
              <w:marLeft w:val="0"/>
              <w:marRight w:val="0"/>
              <w:marTop w:val="0"/>
              <w:marBottom w:val="240"/>
              <w:divBdr>
                <w:top w:val="none" w:sz="0" w:space="0" w:color="auto"/>
                <w:left w:val="none" w:sz="0" w:space="0" w:color="auto"/>
                <w:bottom w:val="none" w:sz="0" w:space="0" w:color="auto"/>
                <w:right w:val="none" w:sz="0" w:space="0" w:color="auto"/>
              </w:divBdr>
            </w:div>
            <w:div w:id="355883717">
              <w:marLeft w:val="0"/>
              <w:marRight w:val="0"/>
              <w:marTop w:val="0"/>
              <w:marBottom w:val="240"/>
              <w:divBdr>
                <w:top w:val="none" w:sz="0" w:space="0" w:color="auto"/>
                <w:left w:val="none" w:sz="0" w:space="0" w:color="auto"/>
                <w:bottom w:val="none" w:sz="0" w:space="0" w:color="auto"/>
                <w:right w:val="none" w:sz="0" w:space="0" w:color="auto"/>
              </w:divBdr>
            </w:div>
            <w:div w:id="1437291870">
              <w:marLeft w:val="0"/>
              <w:marRight w:val="0"/>
              <w:marTop w:val="0"/>
              <w:marBottom w:val="240"/>
              <w:divBdr>
                <w:top w:val="none" w:sz="0" w:space="0" w:color="auto"/>
                <w:left w:val="none" w:sz="0" w:space="0" w:color="auto"/>
                <w:bottom w:val="none" w:sz="0" w:space="0" w:color="auto"/>
                <w:right w:val="none" w:sz="0" w:space="0" w:color="auto"/>
              </w:divBdr>
            </w:div>
            <w:div w:id="329263181">
              <w:marLeft w:val="0"/>
              <w:marRight w:val="0"/>
              <w:marTop w:val="0"/>
              <w:marBottom w:val="240"/>
              <w:divBdr>
                <w:top w:val="none" w:sz="0" w:space="0" w:color="auto"/>
                <w:left w:val="none" w:sz="0" w:space="0" w:color="auto"/>
                <w:bottom w:val="none" w:sz="0" w:space="0" w:color="auto"/>
                <w:right w:val="none" w:sz="0" w:space="0" w:color="auto"/>
              </w:divBdr>
            </w:div>
            <w:div w:id="362436509">
              <w:marLeft w:val="0"/>
              <w:marRight w:val="0"/>
              <w:marTop w:val="0"/>
              <w:marBottom w:val="240"/>
              <w:divBdr>
                <w:top w:val="none" w:sz="0" w:space="0" w:color="auto"/>
                <w:left w:val="none" w:sz="0" w:space="0" w:color="auto"/>
                <w:bottom w:val="none" w:sz="0" w:space="0" w:color="auto"/>
                <w:right w:val="none" w:sz="0" w:space="0" w:color="auto"/>
              </w:divBdr>
            </w:div>
            <w:div w:id="920606450">
              <w:marLeft w:val="0"/>
              <w:marRight w:val="0"/>
              <w:marTop w:val="0"/>
              <w:marBottom w:val="240"/>
              <w:divBdr>
                <w:top w:val="none" w:sz="0" w:space="0" w:color="auto"/>
                <w:left w:val="none" w:sz="0" w:space="0" w:color="auto"/>
                <w:bottom w:val="none" w:sz="0" w:space="0" w:color="auto"/>
                <w:right w:val="none" w:sz="0" w:space="0" w:color="auto"/>
              </w:divBdr>
            </w:div>
            <w:div w:id="892733951">
              <w:marLeft w:val="0"/>
              <w:marRight w:val="0"/>
              <w:marTop w:val="0"/>
              <w:marBottom w:val="240"/>
              <w:divBdr>
                <w:top w:val="none" w:sz="0" w:space="0" w:color="auto"/>
                <w:left w:val="none" w:sz="0" w:space="0" w:color="auto"/>
                <w:bottom w:val="none" w:sz="0" w:space="0" w:color="auto"/>
                <w:right w:val="none" w:sz="0" w:space="0" w:color="auto"/>
              </w:divBdr>
            </w:div>
            <w:div w:id="2113238769">
              <w:marLeft w:val="0"/>
              <w:marRight w:val="0"/>
              <w:marTop w:val="0"/>
              <w:marBottom w:val="240"/>
              <w:divBdr>
                <w:top w:val="none" w:sz="0" w:space="0" w:color="auto"/>
                <w:left w:val="none" w:sz="0" w:space="0" w:color="auto"/>
                <w:bottom w:val="none" w:sz="0" w:space="0" w:color="auto"/>
                <w:right w:val="none" w:sz="0" w:space="0" w:color="auto"/>
              </w:divBdr>
            </w:div>
            <w:div w:id="343676073">
              <w:marLeft w:val="0"/>
              <w:marRight w:val="0"/>
              <w:marTop w:val="0"/>
              <w:marBottom w:val="240"/>
              <w:divBdr>
                <w:top w:val="none" w:sz="0" w:space="0" w:color="auto"/>
                <w:left w:val="none" w:sz="0" w:space="0" w:color="auto"/>
                <w:bottom w:val="none" w:sz="0" w:space="0" w:color="auto"/>
                <w:right w:val="none" w:sz="0" w:space="0" w:color="auto"/>
              </w:divBdr>
            </w:div>
            <w:div w:id="934896028">
              <w:marLeft w:val="0"/>
              <w:marRight w:val="0"/>
              <w:marTop w:val="0"/>
              <w:marBottom w:val="240"/>
              <w:divBdr>
                <w:top w:val="none" w:sz="0" w:space="0" w:color="auto"/>
                <w:left w:val="none" w:sz="0" w:space="0" w:color="auto"/>
                <w:bottom w:val="none" w:sz="0" w:space="0" w:color="auto"/>
                <w:right w:val="none" w:sz="0" w:space="0" w:color="auto"/>
              </w:divBdr>
            </w:div>
            <w:div w:id="1332879717">
              <w:marLeft w:val="0"/>
              <w:marRight w:val="0"/>
              <w:marTop w:val="0"/>
              <w:marBottom w:val="240"/>
              <w:divBdr>
                <w:top w:val="none" w:sz="0" w:space="0" w:color="auto"/>
                <w:left w:val="none" w:sz="0" w:space="0" w:color="auto"/>
                <w:bottom w:val="none" w:sz="0" w:space="0" w:color="auto"/>
                <w:right w:val="none" w:sz="0" w:space="0" w:color="auto"/>
              </w:divBdr>
            </w:div>
            <w:div w:id="1041398586">
              <w:marLeft w:val="0"/>
              <w:marRight w:val="0"/>
              <w:marTop w:val="0"/>
              <w:marBottom w:val="240"/>
              <w:divBdr>
                <w:top w:val="none" w:sz="0" w:space="0" w:color="auto"/>
                <w:left w:val="none" w:sz="0" w:space="0" w:color="auto"/>
                <w:bottom w:val="none" w:sz="0" w:space="0" w:color="auto"/>
                <w:right w:val="none" w:sz="0" w:space="0" w:color="auto"/>
              </w:divBdr>
            </w:div>
            <w:div w:id="179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8161">
      <w:bodyDiv w:val="1"/>
      <w:marLeft w:val="0"/>
      <w:marRight w:val="0"/>
      <w:marTop w:val="0"/>
      <w:marBottom w:val="0"/>
      <w:divBdr>
        <w:top w:val="none" w:sz="0" w:space="0" w:color="auto"/>
        <w:left w:val="none" w:sz="0" w:space="0" w:color="auto"/>
        <w:bottom w:val="none" w:sz="0" w:space="0" w:color="auto"/>
        <w:right w:val="none" w:sz="0" w:space="0" w:color="auto"/>
      </w:divBdr>
    </w:div>
    <w:div w:id="1709333095">
      <w:bodyDiv w:val="1"/>
      <w:marLeft w:val="0"/>
      <w:marRight w:val="0"/>
      <w:marTop w:val="0"/>
      <w:marBottom w:val="0"/>
      <w:divBdr>
        <w:top w:val="none" w:sz="0" w:space="0" w:color="auto"/>
        <w:left w:val="none" w:sz="0" w:space="0" w:color="auto"/>
        <w:bottom w:val="none" w:sz="0" w:space="0" w:color="auto"/>
        <w:right w:val="none" w:sz="0" w:space="0" w:color="auto"/>
      </w:divBdr>
      <w:divsChild>
        <w:div w:id="1680741917">
          <w:marLeft w:val="480"/>
          <w:marRight w:val="0"/>
          <w:marTop w:val="0"/>
          <w:marBottom w:val="0"/>
          <w:divBdr>
            <w:top w:val="none" w:sz="0" w:space="0" w:color="auto"/>
            <w:left w:val="none" w:sz="0" w:space="0" w:color="auto"/>
            <w:bottom w:val="none" w:sz="0" w:space="0" w:color="auto"/>
            <w:right w:val="none" w:sz="0" w:space="0" w:color="auto"/>
          </w:divBdr>
          <w:divsChild>
            <w:div w:id="629479402">
              <w:marLeft w:val="0"/>
              <w:marRight w:val="0"/>
              <w:marTop w:val="0"/>
              <w:marBottom w:val="240"/>
              <w:divBdr>
                <w:top w:val="none" w:sz="0" w:space="0" w:color="auto"/>
                <w:left w:val="none" w:sz="0" w:space="0" w:color="auto"/>
                <w:bottom w:val="none" w:sz="0" w:space="0" w:color="auto"/>
                <w:right w:val="none" w:sz="0" w:space="0" w:color="auto"/>
              </w:divBdr>
            </w:div>
            <w:div w:id="202717145">
              <w:marLeft w:val="0"/>
              <w:marRight w:val="0"/>
              <w:marTop w:val="0"/>
              <w:marBottom w:val="240"/>
              <w:divBdr>
                <w:top w:val="none" w:sz="0" w:space="0" w:color="auto"/>
                <w:left w:val="none" w:sz="0" w:space="0" w:color="auto"/>
                <w:bottom w:val="none" w:sz="0" w:space="0" w:color="auto"/>
                <w:right w:val="none" w:sz="0" w:space="0" w:color="auto"/>
              </w:divBdr>
            </w:div>
            <w:div w:id="538277628">
              <w:marLeft w:val="0"/>
              <w:marRight w:val="0"/>
              <w:marTop w:val="0"/>
              <w:marBottom w:val="240"/>
              <w:divBdr>
                <w:top w:val="none" w:sz="0" w:space="0" w:color="auto"/>
                <w:left w:val="none" w:sz="0" w:space="0" w:color="auto"/>
                <w:bottom w:val="none" w:sz="0" w:space="0" w:color="auto"/>
                <w:right w:val="none" w:sz="0" w:space="0" w:color="auto"/>
              </w:divBdr>
            </w:div>
            <w:div w:id="1296326355">
              <w:marLeft w:val="0"/>
              <w:marRight w:val="0"/>
              <w:marTop w:val="0"/>
              <w:marBottom w:val="240"/>
              <w:divBdr>
                <w:top w:val="none" w:sz="0" w:space="0" w:color="auto"/>
                <w:left w:val="none" w:sz="0" w:space="0" w:color="auto"/>
                <w:bottom w:val="none" w:sz="0" w:space="0" w:color="auto"/>
                <w:right w:val="none" w:sz="0" w:space="0" w:color="auto"/>
              </w:divBdr>
            </w:div>
            <w:div w:id="1922791355">
              <w:marLeft w:val="0"/>
              <w:marRight w:val="0"/>
              <w:marTop w:val="0"/>
              <w:marBottom w:val="240"/>
              <w:divBdr>
                <w:top w:val="none" w:sz="0" w:space="0" w:color="auto"/>
                <w:left w:val="none" w:sz="0" w:space="0" w:color="auto"/>
                <w:bottom w:val="none" w:sz="0" w:space="0" w:color="auto"/>
                <w:right w:val="none" w:sz="0" w:space="0" w:color="auto"/>
              </w:divBdr>
            </w:div>
            <w:div w:id="1935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5108">
      <w:bodyDiv w:val="1"/>
      <w:marLeft w:val="0"/>
      <w:marRight w:val="0"/>
      <w:marTop w:val="0"/>
      <w:marBottom w:val="0"/>
      <w:divBdr>
        <w:top w:val="none" w:sz="0" w:space="0" w:color="auto"/>
        <w:left w:val="none" w:sz="0" w:space="0" w:color="auto"/>
        <w:bottom w:val="none" w:sz="0" w:space="0" w:color="auto"/>
        <w:right w:val="none" w:sz="0" w:space="0" w:color="auto"/>
      </w:divBdr>
    </w:div>
    <w:div w:id="1887525660">
      <w:bodyDiv w:val="1"/>
      <w:marLeft w:val="0"/>
      <w:marRight w:val="0"/>
      <w:marTop w:val="0"/>
      <w:marBottom w:val="0"/>
      <w:divBdr>
        <w:top w:val="none" w:sz="0" w:space="0" w:color="auto"/>
        <w:left w:val="none" w:sz="0" w:space="0" w:color="auto"/>
        <w:bottom w:val="none" w:sz="0" w:space="0" w:color="auto"/>
        <w:right w:val="none" w:sz="0" w:space="0" w:color="auto"/>
      </w:divBdr>
      <w:divsChild>
        <w:div w:id="951009344">
          <w:marLeft w:val="480"/>
          <w:marRight w:val="0"/>
          <w:marTop w:val="0"/>
          <w:marBottom w:val="0"/>
          <w:divBdr>
            <w:top w:val="none" w:sz="0" w:space="0" w:color="auto"/>
            <w:left w:val="none" w:sz="0" w:space="0" w:color="auto"/>
            <w:bottom w:val="none" w:sz="0" w:space="0" w:color="auto"/>
            <w:right w:val="none" w:sz="0" w:space="0" w:color="auto"/>
          </w:divBdr>
          <w:divsChild>
            <w:div w:id="2096825859">
              <w:marLeft w:val="0"/>
              <w:marRight w:val="0"/>
              <w:marTop w:val="0"/>
              <w:marBottom w:val="240"/>
              <w:divBdr>
                <w:top w:val="none" w:sz="0" w:space="0" w:color="auto"/>
                <w:left w:val="none" w:sz="0" w:space="0" w:color="auto"/>
                <w:bottom w:val="none" w:sz="0" w:space="0" w:color="auto"/>
                <w:right w:val="none" w:sz="0" w:space="0" w:color="auto"/>
              </w:divBdr>
            </w:div>
            <w:div w:id="570820222">
              <w:marLeft w:val="0"/>
              <w:marRight w:val="0"/>
              <w:marTop w:val="0"/>
              <w:marBottom w:val="240"/>
              <w:divBdr>
                <w:top w:val="none" w:sz="0" w:space="0" w:color="auto"/>
                <w:left w:val="none" w:sz="0" w:space="0" w:color="auto"/>
                <w:bottom w:val="none" w:sz="0" w:space="0" w:color="auto"/>
                <w:right w:val="none" w:sz="0" w:space="0" w:color="auto"/>
              </w:divBdr>
            </w:div>
            <w:div w:id="185100927">
              <w:marLeft w:val="0"/>
              <w:marRight w:val="0"/>
              <w:marTop w:val="0"/>
              <w:marBottom w:val="240"/>
              <w:divBdr>
                <w:top w:val="none" w:sz="0" w:space="0" w:color="auto"/>
                <w:left w:val="none" w:sz="0" w:space="0" w:color="auto"/>
                <w:bottom w:val="none" w:sz="0" w:space="0" w:color="auto"/>
                <w:right w:val="none" w:sz="0" w:space="0" w:color="auto"/>
              </w:divBdr>
            </w:div>
            <w:div w:id="887569362">
              <w:marLeft w:val="0"/>
              <w:marRight w:val="0"/>
              <w:marTop w:val="0"/>
              <w:marBottom w:val="240"/>
              <w:divBdr>
                <w:top w:val="none" w:sz="0" w:space="0" w:color="auto"/>
                <w:left w:val="none" w:sz="0" w:space="0" w:color="auto"/>
                <w:bottom w:val="none" w:sz="0" w:space="0" w:color="auto"/>
                <w:right w:val="none" w:sz="0" w:space="0" w:color="auto"/>
              </w:divBdr>
            </w:div>
            <w:div w:id="1894342736">
              <w:marLeft w:val="0"/>
              <w:marRight w:val="0"/>
              <w:marTop w:val="0"/>
              <w:marBottom w:val="240"/>
              <w:divBdr>
                <w:top w:val="none" w:sz="0" w:space="0" w:color="auto"/>
                <w:left w:val="none" w:sz="0" w:space="0" w:color="auto"/>
                <w:bottom w:val="none" w:sz="0" w:space="0" w:color="auto"/>
                <w:right w:val="none" w:sz="0" w:space="0" w:color="auto"/>
              </w:divBdr>
            </w:div>
            <w:div w:id="1909923808">
              <w:marLeft w:val="0"/>
              <w:marRight w:val="0"/>
              <w:marTop w:val="0"/>
              <w:marBottom w:val="240"/>
              <w:divBdr>
                <w:top w:val="none" w:sz="0" w:space="0" w:color="auto"/>
                <w:left w:val="none" w:sz="0" w:space="0" w:color="auto"/>
                <w:bottom w:val="none" w:sz="0" w:space="0" w:color="auto"/>
                <w:right w:val="none" w:sz="0" w:space="0" w:color="auto"/>
              </w:divBdr>
            </w:div>
            <w:div w:id="1994597022">
              <w:marLeft w:val="0"/>
              <w:marRight w:val="0"/>
              <w:marTop w:val="0"/>
              <w:marBottom w:val="240"/>
              <w:divBdr>
                <w:top w:val="none" w:sz="0" w:space="0" w:color="auto"/>
                <w:left w:val="none" w:sz="0" w:space="0" w:color="auto"/>
                <w:bottom w:val="none" w:sz="0" w:space="0" w:color="auto"/>
                <w:right w:val="none" w:sz="0" w:space="0" w:color="auto"/>
              </w:divBdr>
            </w:div>
            <w:div w:id="122701767">
              <w:marLeft w:val="0"/>
              <w:marRight w:val="0"/>
              <w:marTop w:val="0"/>
              <w:marBottom w:val="240"/>
              <w:divBdr>
                <w:top w:val="none" w:sz="0" w:space="0" w:color="auto"/>
                <w:left w:val="none" w:sz="0" w:space="0" w:color="auto"/>
                <w:bottom w:val="none" w:sz="0" w:space="0" w:color="auto"/>
                <w:right w:val="none" w:sz="0" w:space="0" w:color="auto"/>
              </w:divBdr>
            </w:div>
            <w:div w:id="914895494">
              <w:marLeft w:val="0"/>
              <w:marRight w:val="0"/>
              <w:marTop w:val="0"/>
              <w:marBottom w:val="240"/>
              <w:divBdr>
                <w:top w:val="none" w:sz="0" w:space="0" w:color="auto"/>
                <w:left w:val="none" w:sz="0" w:space="0" w:color="auto"/>
                <w:bottom w:val="none" w:sz="0" w:space="0" w:color="auto"/>
                <w:right w:val="none" w:sz="0" w:space="0" w:color="auto"/>
              </w:divBdr>
            </w:div>
            <w:div w:id="1274944058">
              <w:marLeft w:val="0"/>
              <w:marRight w:val="0"/>
              <w:marTop w:val="0"/>
              <w:marBottom w:val="240"/>
              <w:divBdr>
                <w:top w:val="none" w:sz="0" w:space="0" w:color="auto"/>
                <w:left w:val="none" w:sz="0" w:space="0" w:color="auto"/>
                <w:bottom w:val="none" w:sz="0" w:space="0" w:color="auto"/>
                <w:right w:val="none" w:sz="0" w:space="0" w:color="auto"/>
              </w:divBdr>
            </w:div>
            <w:div w:id="902715122">
              <w:marLeft w:val="0"/>
              <w:marRight w:val="0"/>
              <w:marTop w:val="0"/>
              <w:marBottom w:val="240"/>
              <w:divBdr>
                <w:top w:val="none" w:sz="0" w:space="0" w:color="auto"/>
                <w:left w:val="none" w:sz="0" w:space="0" w:color="auto"/>
                <w:bottom w:val="none" w:sz="0" w:space="0" w:color="auto"/>
                <w:right w:val="none" w:sz="0" w:space="0" w:color="auto"/>
              </w:divBdr>
            </w:div>
            <w:div w:id="321545342">
              <w:marLeft w:val="0"/>
              <w:marRight w:val="0"/>
              <w:marTop w:val="0"/>
              <w:marBottom w:val="240"/>
              <w:divBdr>
                <w:top w:val="none" w:sz="0" w:space="0" w:color="auto"/>
                <w:left w:val="none" w:sz="0" w:space="0" w:color="auto"/>
                <w:bottom w:val="none" w:sz="0" w:space="0" w:color="auto"/>
                <w:right w:val="none" w:sz="0" w:space="0" w:color="auto"/>
              </w:divBdr>
            </w:div>
            <w:div w:id="1736969033">
              <w:marLeft w:val="0"/>
              <w:marRight w:val="0"/>
              <w:marTop w:val="0"/>
              <w:marBottom w:val="240"/>
              <w:divBdr>
                <w:top w:val="none" w:sz="0" w:space="0" w:color="auto"/>
                <w:left w:val="none" w:sz="0" w:space="0" w:color="auto"/>
                <w:bottom w:val="none" w:sz="0" w:space="0" w:color="auto"/>
                <w:right w:val="none" w:sz="0" w:space="0" w:color="auto"/>
              </w:divBdr>
            </w:div>
            <w:div w:id="203177943">
              <w:marLeft w:val="0"/>
              <w:marRight w:val="0"/>
              <w:marTop w:val="0"/>
              <w:marBottom w:val="240"/>
              <w:divBdr>
                <w:top w:val="none" w:sz="0" w:space="0" w:color="auto"/>
                <w:left w:val="none" w:sz="0" w:space="0" w:color="auto"/>
                <w:bottom w:val="none" w:sz="0" w:space="0" w:color="auto"/>
                <w:right w:val="none" w:sz="0" w:space="0" w:color="auto"/>
              </w:divBdr>
            </w:div>
            <w:div w:id="621033609">
              <w:marLeft w:val="0"/>
              <w:marRight w:val="0"/>
              <w:marTop w:val="0"/>
              <w:marBottom w:val="240"/>
              <w:divBdr>
                <w:top w:val="none" w:sz="0" w:space="0" w:color="auto"/>
                <w:left w:val="none" w:sz="0" w:space="0" w:color="auto"/>
                <w:bottom w:val="none" w:sz="0" w:space="0" w:color="auto"/>
                <w:right w:val="none" w:sz="0" w:space="0" w:color="auto"/>
              </w:divBdr>
            </w:div>
            <w:div w:id="25106605">
              <w:marLeft w:val="0"/>
              <w:marRight w:val="0"/>
              <w:marTop w:val="0"/>
              <w:marBottom w:val="240"/>
              <w:divBdr>
                <w:top w:val="none" w:sz="0" w:space="0" w:color="auto"/>
                <w:left w:val="none" w:sz="0" w:space="0" w:color="auto"/>
                <w:bottom w:val="none" w:sz="0" w:space="0" w:color="auto"/>
                <w:right w:val="none" w:sz="0" w:space="0" w:color="auto"/>
              </w:divBdr>
            </w:div>
            <w:div w:id="611979902">
              <w:marLeft w:val="0"/>
              <w:marRight w:val="0"/>
              <w:marTop w:val="0"/>
              <w:marBottom w:val="240"/>
              <w:divBdr>
                <w:top w:val="none" w:sz="0" w:space="0" w:color="auto"/>
                <w:left w:val="none" w:sz="0" w:space="0" w:color="auto"/>
                <w:bottom w:val="none" w:sz="0" w:space="0" w:color="auto"/>
                <w:right w:val="none" w:sz="0" w:space="0" w:color="auto"/>
              </w:divBdr>
            </w:div>
            <w:div w:id="1730809904">
              <w:marLeft w:val="0"/>
              <w:marRight w:val="0"/>
              <w:marTop w:val="0"/>
              <w:marBottom w:val="240"/>
              <w:divBdr>
                <w:top w:val="none" w:sz="0" w:space="0" w:color="auto"/>
                <w:left w:val="none" w:sz="0" w:space="0" w:color="auto"/>
                <w:bottom w:val="none" w:sz="0" w:space="0" w:color="auto"/>
                <w:right w:val="none" w:sz="0" w:space="0" w:color="auto"/>
              </w:divBdr>
            </w:div>
            <w:div w:id="502667742">
              <w:marLeft w:val="0"/>
              <w:marRight w:val="0"/>
              <w:marTop w:val="0"/>
              <w:marBottom w:val="240"/>
              <w:divBdr>
                <w:top w:val="none" w:sz="0" w:space="0" w:color="auto"/>
                <w:left w:val="none" w:sz="0" w:space="0" w:color="auto"/>
                <w:bottom w:val="none" w:sz="0" w:space="0" w:color="auto"/>
                <w:right w:val="none" w:sz="0" w:space="0" w:color="auto"/>
              </w:divBdr>
            </w:div>
            <w:div w:id="1756855178">
              <w:marLeft w:val="0"/>
              <w:marRight w:val="0"/>
              <w:marTop w:val="0"/>
              <w:marBottom w:val="240"/>
              <w:divBdr>
                <w:top w:val="none" w:sz="0" w:space="0" w:color="auto"/>
                <w:left w:val="none" w:sz="0" w:space="0" w:color="auto"/>
                <w:bottom w:val="none" w:sz="0" w:space="0" w:color="auto"/>
                <w:right w:val="none" w:sz="0" w:space="0" w:color="auto"/>
              </w:divBdr>
            </w:div>
            <w:div w:id="2624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9637">
      <w:bodyDiv w:val="1"/>
      <w:marLeft w:val="0"/>
      <w:marRight w:val="0"/>
      <w:marTop w:val="0"/>
      <w:marBottom w:val="0"/>
      <w:divBdr>
        <w:top w:val="none" w:sz="0" w:space="0" w:color="auto"/>
        <w:left w:val="none" w:sz="0" w:space="0" w:color="auto"/>
        <w:bottom w:val="none" w:sz="0" w:space="0" w:color="auto"/>
        <w:right w:val="none" w:sz="0" w:space="0" w:color="auto"/>
      </w:divBdr>
      <w:divsChild>
        <w:div w:id="952908937">
          <w:marLeft w:val="0"/>
          <w:marRight w:val="0"/>
          <w:marTop w:val="0"/>
          <w:marBottom w:val="0"/>
          <w:divBdr>
            <w:top w:val="none" w:sz="0" w:space="0" w:color="auto"/>
            <w:left w:val="none" w:sz="0" w:space="0" w:color="auto"/>
            <w:bottom w:val="none" w:sz="0" w:space="0" w:color="auto"/>
            <w:right w:val="none" w:sz="0" w:space="0" w:color="auto"/>
          </w:divBdr>
        </w:div>
      </w:divsChild>
    </w:div>
    <w:div w:id="1915621352">
      <w:bodyDiv w:val="1"/>
      <w:marLeft w:val="0"/>
      <w:marRight w:val="0"/>
      <w:marTop w:val="0"/>
      <w:marBottom w:val="0"/>
      <w:divBdr>
        <w:top w:val="none" w:sz="0" w:space="0" w:color="auto"/>
        <w:left w:val="none" w:sz="0" w:space="0" w:color="auto"/>
        <w:bottom w:val="none" w:sz="0" w:space="0" w:color="auto"/>
        <w:right w:val="none" w:sz="0" w:space="0" w:color="auto"/>
      </w:divBdr>
      <w:divsChild>
        <w:div w:id="267083292">
          <w:marLeft w:val="480"/>
          <w:marRight w:val="0"/>
          <w:marTop w:val="0"/>
          <w:marBottom w:val="0"/>
          <w:divBdr>
            <w:top w:val="none" w:sz="0" w:space="0" w:color="auto"/>
            <w:left w:val="none" w:sz="0" w:space="0" w:color="auto"/>
            <w:bottom w:val="none" w:sz="0" w:space="0" w:color="auto"/>
            <w:right w:val="none" w:sz="0" w:space="0" w:color="auto"/>
          </w:divBdr>
          <w:divsChild>
            <w:div w:id="675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304">
      <w:bodyDiv w:val="1"/>
      <w:marLeft w:val="0"/>
      <w:marRight w:val="0"/>
      <w:marTop w:val="0"/>
      <w:marBottom w:val="0"/>
      <w:divBdr>
        <w:top w:val="none" w:sz="0" w:space="0" w:color="auto"/>
        <w:left w:val="none" w:sz="0" w:space="0" w:color="auto"/>
        <w:bottom w:val="none" w:sz="0" w:space="0" w:color="auto"/>
        <w:right w:val="none" w:sz="0" w:space="0" w:color="auto"/>
      </w:divBdr>
      <w:divsChild>
        <w:div w:id="1489127455">
          <w:marLeft w:val="0"/>
          <w:marRight w:val="0"/>
          <w:marTop w:val="0"/>
          <w:marBottom w:val="0"/>
          <w:divBdr>
            <w:top w:val="none" w:sz="0" w:space="0" w:color="auto"/>
            <w:left w:val="none" w:sz="0" w:space="0" w:color="auto"/>
            <w:bottom w:val="none" w:sz="0" w:space="0" w:color="auto"/>
            <w:right w:val="none" w:sz="0" w:space="0" w:color="auto"/>
          </w:divBdr>
          <w:divsChild>
            <w:div w:id="16502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bjo.bmj.com/lookup/doi/10.1136/bjophthalmol-2020-318481" TargetMode="External"/><Relationship Id="rId26" Type="http://schemas.openxmlformats.org/officeDocument/2006/relationships/hyperlink" Target="https://dx.plos.org/10.1371/journal.pone.0268116" TargetMode="External"/><Relationship Id="rId39" Type="http://schemas.openxmlformats.org/officeDocument/2006/relationships/theme" Target="theme/theme1.xml"/><Relationship Id="rId21" Type="http://schemas.openxmlformats.org/officeDocument/2006/relationships/hyperlink" Target="https://www.mdpi.com/1660-4601/16/17/3085" TargetMode="External"/><Relationship Id="rId34" Type="http://schemas.openxmlformats.org/officeDocument/2006/relationships/hyperlink" Target="https://www.humanity-inclusion.org.uk/sn_uploads/document/2019-05-data-on-persons-with-disabilities-in-humanitarian-action-key-findings-and-recommendation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ghtsavers.org/wp-content/uploads/2017/08/Sightsavers-Baseline-Report-Disability-Disaggregation-of-Data.pdf" TargetMode="External"/><Relationship Id="rId25" Type="http://schemas.openxmlformats.org/officeDocument/2006/relationships/hyperlink" Target="https://www.sightsavers.org/wp-content/uploads/2017/09/everybodycounts_brochure_accessible_web.pdf" TargetMode="External"/><Relationship Id="rId33" Type="http://schemas.openxmlformats.org/officeDocument/2006/relationships/hyperlink" Target="https://www.did4all.com.au/Resources/Plan-CBM-Nossal_Disability-Data-Collection-Practice-Note_2016Updat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andfonline.com/doi/full/10.1080/09286586.2020.1768553" TargetMode="External"/><Relationship Id="rId20" Type="http://schemas.openxmlformats.org/officeDocument/2006/relationships/hyperlink" Target="https://linkinghub.elsevier.com/retrieve/pii/S1936657418301365" TargetMode="External"/><Relationship Id="rId29" Type="http://schemas.openxmlformats.org/officeDocument/2006/relationships/hyperlink" Target="https://www.ohchr.org/sites/default/files/article-25-indicators-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dpi.com/1660-4601/18/17/9068" TargetMode="External"/><Relationship Id="rId32" Type="http://schemas.openxmlformats.org/officeDocument/2006/relationships/hyperlink" Target="https://apps.who.int/iris/handle/10665/336857" TargetMode="External"/><Relationship Id="rId37" Type="http://schemas.openxmlformats.org/officeDocument/2006/relationships/hyperlink" Target="https://docs.wfp.org/api/documents/WFP-0000139493/download/" TargetMode="External"/><Relationship Id="rId5" Type="http://schemas.openxmlformats.org/officeDocument/2006/relationships/numbering" Target="numbering.xml"/><Relationship Id="rId15" Type="http://schemas.openxmlformats.org/officeDocument/2006/relationships/hyperlink" Target="https://www.mdpi.com/1660-4601/19/7/4304" TargetMode="External"/><Relationship Id="rId23" Type="http://schemas.openxmlformats.org/officeDocument/2006/relationships/hyperlink" Target="https://www.tandfonline.com/doi/full/10.1080/09286586.2017.1313992" TargetMode="External"/><Relationship Id="rId28" Type="http://schemas.openxmlformats.org/officeDocument/2006/relationships/hyperlink" Target="https://www.ohchr.org/sites/default/files/Documents/Issues/Disability/SDG-CRPD-Resource/policy-guideline-good-health.pdf" TargetMode="External"/><Relationship Id="rId36" Type="http://schemas.openxmlformats.org/officeDocument/2006/relationships/hyperlink" Target="https://www.mdpi.com/1660-4601/18/21/11143" TargetMode="External"/><Relationship Id="rId10" Type="http://schemas.openxmlformats.org/officeDocument/2006/relationships/endnotes" Target="endnotes.xml"/><Relationship Id="rId19" Type="http://schemas.openxmlformats.org/officeDocument/2006/relationships/hyperlink" Target="https://www.mdpi.com/1660-4601/16/23/4869" TargetMode="External"/><Relationship Id="rId31" Type="http://schemas.openxmlformats.org/officeDocument/2006/relationships/hyperlink" Target="https://www.who.int/publications/i/item/97892400636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ature.com/articles/s41433-021-01498-x" TargetMode="External"/><Relationship Id="rId27" Type="http://schemas.openxmlformats.org/officeDocument/2006/relationships/hyperlink" Target="https://static1.squarespace.com/static/5d79d3afbc2a705c96c5d2e5/t/634d9409d12381407c9c4dc8/1666028716085/MBReport_Reimagining+Health+Systems_Oct22" TargetMode="External"/><Relationship Id="rId30" Type="http://schemas.openxmlformats.org/officeDocument/2006/relationships/hyperlink" Target="https://www.unicef.org/media/127496/file/Disability_Inclusion_in_Routine_General_Health_Care_Practice_Guide_2022.pdf" TargetMode="External"/><Relationship Id="rId35" Type="http://schemas.openxmlformats.org/officeDocument/2006/relationships/hyperlink" Target="https://www.humanity-inclusion.org.uk/sn_uploads/document/2018-10-summary-review-wgq-development-humanitarian-actor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who.int/publications/i/item/9789240063600" TargetMode="External"/><Relationship Id="rId13" Type="http://schemas.openxmlformats.org/officeDocument/2006/relationships/hyperlink" Target="https://www.unicef.org/media/127496/file/Disability_Inclusion_in_Routine_General_Health_Care_Practice_Guide_2022.pdf" TargetMode="External"/><Relationship Id="rId18" Type="http://schemas.openxmlformats.org/officeDocument/2006/relationships/hyperlink" Target="https://rdinetwork.org.au/wp-content/uploads/2020/06/RDI-Network-R4All-Accessible-PDF-1.pdf" TargetMode="External"/><Relationship Id="rId3" Type="http://schemas.openxmlformats.org/officeDocument/2006/relationships/hyperlink" Target="https://www.did4all.com.au/Resources/Plan-CBM-Nossal_Disability-Data-Collection-Practice-Note_2016Update.pdf" TargetMode="External"/><Relationship Id="rId7" Type="http://schemas.openxmlformats.org/officeDocument/2006/relationships/hyperlink" Target="https://www.samrc.ac.za/intramural-research-units/testing-gbv-quality-assurance-tool" TargetMode="External"/><Relationship Id="rId12" Type="http://schemas.openxmlformats.org/officeDocument/2006/relationships/hyperlink" Target="https://apps.who.int/iris/handle/10665/336857" TargetMode="External"/><Relationship Id="rId17" Type="http://schemas.openxmlformats.org/officeDocument/2006/relationships/hyperlink" Target="https://docs.wfp.org/api/documents/WFP-0000139493/download/" TargetMode="External"/><Relationship Id="rId2" Type="http://schemas.openxmlformats.org/officeDocument/2006/relationships/hyperlink" Target="https://bjo.bmj.com/lookup/doi/10.1136/bjophthalmol-2020-318481" TargetMode="External"/><Relationship Id="rId16" Type="http://schemas.openxmlformats.org/officeDocument/2006/relationships/hyperlink" Target="https://www.mdpi.com/1660-4601/18/21/11143" TargetMode="External"/><Relationship Id="rId1" Type="http://schemas.openxmlformats.org/officeDocument/2006/relationships/hyperlink" Target="https://www.who.int/publications/i/item/9789241516570" TargetMode="External"/><Relationship Id="rId6" Type="http://schemas.openxmlformats.org/officeDocument/2006/relationships/hyperlink" Target="https://www.sightsavers.org/disability/health/accessibility-standards/" TargetMode="External"/><Relationship Id="rId11" Type="http://schemas.openxmlformats.org/officeDocument/2006/relationships/hyperlink" Target="https://www.who.int/publications/i/item/9789240063600" TargetMode="External"/><Relationship Id="rId5" Type="http://schemas.openxmlformats.org/officeDocument/2006/relationships/hyperlink" Target="https://www.who.int/publications/i/item/9789240063600" TargetMode="External"/><Relationship Id="rId15" Type="http://schemas.openxmlformats.org/officeDocument/2006/relationships/hyperlink" Target="https://www.mdpi.com/1660-4601/18/21/11143" TargetMode="External"/><Relationship Id="rId10" Type="http://schemas.openxmlformats.org/officeDocument/2006/relationships/hyperlink" Target="https://www.who.int/publications/i/item/9789240063600" TargetMode="External"/><Relationship Id="rId19" Type="http://schemas.openxmlformats.org/officeDocument/2006/relationships/hyperlink" Target="https://journals.lww.com/apjoo/Abstract/2018/09000/Leaving_No_One_Behind__Strengthening_Access_to_Eye.11.aspx" TargetMode="External"/><Relationship Id="rId4" Type="http://schemas.openxmlformats.org/officeDocument/2006/relationships/hyperlink" Target="https://www.who.int/publications/i/item/9789240063600" TargetMode="External"/><Relationship Id="rId9" Type="http://schemas.openxmlformats.org/officeDocument/2006/relationships/hyperlink" Target="https://www.mdpi.com/1660-4601/19/7/4304" TargetMode="External"/><Relationship Id="rId14" Type="http://schemas.openxmlformats.org/officeDocument/2006/relationships/hyperlink" Target="https://www.sightsavers.org/wp-content/uploads/2017/09/everybodycounts_brochure_accessible_web.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sh\CBM%20Global\Intranet%20-%20IAG%20Communications%20Resources\IAG%20Document%20Templates\IAG%20Long%20Doc%202022.dotx" TargetMode="External"/></Relationships>
</file>

<file path=word/theme/theme1.xml><?xml version="1.0" encoding="utf-8"?>
<a:theme xmlns:a="http://schemas.openxmlformats.org/drawingml/2006/main" name="IAG">
  <a:themeElements>
    <a:clrScheme name="IAG 2022">
      <a:dk1>
        <a:srgbClr val="000000"/>
      </a:dk1>
      <a:lt1>
        <a:srgbClr val="FFFFFF"/>
      </a:lt1>
      <a:dk2>
        <a:srgbClr val="000000"/>
      </a:dk2>
      <a:lt2>
        <a:srgbClr val="FFFFFF"/>
      </a:lt2>
      <a:accent1>
        <a:srgbClr val="FAC41A"/>
      </a:accent1>
      <a:accent2>
        <a:srgbClr val="E6E5D7"/>
      </a:accent2>
      <a:accent3>
        <a:srgbClr val="EEF2F4"/>
      </a:accent3>
      <a:accent4>
        <a:srgbClr val="FEF6DC"/>
      </a:accent4>
      <a:accent5>
        <a:srgbClr val="79A3DC"/>
      </a:accent5>
      <a:accent6>
        <a:srgbClr val="C4141B"/>
      </a:accent6>
      <a:hlink>
        <a:srgbClr val="1A3965"/>
      </a:hlink>
      <a:folHlink>
        <a:srgbClr val="1A3965"/>
      </a:folHlink>
    </a:clrScheme>
    <a:fontScheme name="IAG">
      <a:majorFont>
        <a:latin typeface="Calibri"/>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G" id="{E8D839D4-F9B4-48D8-A49E-2B557C0685E3}" vid="{1D8AC8AE-11FB-4CA8-9094-A57C47F95E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45acbb-4a4d-44b1-a5ea-e3720f82891e">
      <Terms xmlns="http://schemas.microsoft.com/office/infopath/2007/PartnerControls"/>
    </lcf76f155ced4ddcb4097134ff3c332f>
    <TaxCatchAll xmlns="4171f854-f482-4227-add5-188c3bba07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8" ma:contentTypeDescription="Create a new document." ma:contentTypeScope="" ma:versionID="811bc76c95d333f9011063274c96bcf4">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f49781d4df930d0dcf330991df87b05f"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5FFE-1A93-4B41-BED9-56161385285C}">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2.xml><?xml version="1.0" encoding="utf-8"?>
<ds:datastoreItem xmlns:ds="http://schemas.openxmlformats.org/officeDocument/2006/customXml" ds:itemID="{1AB62827-5C6D-40DF-9CEC-6979F6548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B3109-25A7-4372-87FE-B6DDD30AEED6}">
  <ds:schemaRefs>
    <ds:schemaRef ds:uri="http://schemas.microsoft.com/sharepoint/v3/contenttype/forms"/>
  </ds:schemaRefs>
</ds:datastoreItem>
</file>

<file path=customXml/itemProps4.xml><?xml version="1.0" encoding="utf-8"?>
<ds:datastoreItem xmlns:ds="http://schemas.openxmlformats.org/officeDocument/2006/customXml" ds:itemID="{2C11AE6B-C9BA-499A-80BA-B71F9B93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C:\Users\abush\CBM Global\Intranet - IAG Communications Resources\IAG Document Templates\IAG Long Doc 2022.dotx</Template>
  <TotalTime>3</TotalTime>
  <Pages>41</Pages>
  <Words>17968</Words>
  <Characters>104398</Characters>
  <Application>Microsoft Office Word</Application>
  <DocSecurity>0</DocSecurity>
  <Lines>1657</Lines>
  <Paragraphs>491</Paragraphs>
  <ScaleCrop>false</ScaleCrop>
  <HeadingPairs>
    <vt:vector size="2" baseType="variant">
      <vt:variant>
        <vt:lpstr>Title</vt:lpstr>
      </vt:variant>
      <vt:variant>
        <vt:i4>1</vt:i4>
      </vt:variant>
    </vt:vector>
  </HeadingPairs>
  <TitlesOfParts>
    <vt:vector size="1" baseType="lpstr">
      <vt:lpstr>Evidence summary: Disability data and eye health programming in low- to middle-income countries</vt:lpstr>
    </vt:vector>
  </TitlesOfParts>
  <Manager/>
  <Company>CBM Australia</Company>
  <LinksUpToDate>false</LinksUpToDate>
  <CharactersWithSpaces>121875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summary: Disability data and eye health programming in low- to middle-income countries</dc:title>
  <dc:subject/>
  <dc:creator>Asahel Bush, Inclusion Advisory Group, CBM Australia</dc:creator>
  <cp:keywords/>
  <dc:description/>
  <cp:lastModifiedBy>Amanda Willimott</cp:lastModifiedBy>
  <cp:revision>4</cp:revision>
  <cp:lastPrinted>2024-05-01T01:59:00Z</cp:lastPrinted>
  <dcterms:created xsi:type="dcterms:W3CDTF">2024-05-03T01:42:00Z</dcterms:created>
  <dcterms:modified xsi:type="dcterms:W3CDTF">2024-06-17T00:04:00Z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0x01010017B496AE78F5524FBAD4B630D6FA47AC</vt:lpwstr>
  </property>
  <property fmtid="{D5CDD505-2E9C-101B-9397-08002B2CF9AE}" pid="3" name="Order">
    <vt:i4>148400</vt:i4>
  </property>
  <property fmtid="{D5CDD505-2E9C-101B-9397-08002B2CF9AE}" pid="4" name="MediaServiceImageTags">
    <vt:lpwstr/>
  </property>
</Properties>
</file>